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324B2" w14:textId="77777777" w:rsidR="00F33615" w:rsidRPr="009673A1" w:rsidRDefault="009673A1" w:rsidP="009673A1">
      <w:pPr>
        <w:contextualSpacing/>
        <w:jc w:val="center"/>
        <w:rPr>
          <w:b/>
        </w:rPr>
      </w:pPr>
      <w:bookmarkStart w:id="0" w:name="_GoBack"/>
      <w:bookmarkEnd w:id="0"/>
      <w:r w:rsidRPr="009673A1">
        <w:rPr>
          <w:b/>
        </w:rPr>
        <w:t>Issue 7</w:t>
      </w:r>
      <w:r w:rsidR="00977584" w:rsidRPr="009673A1">
        <w:rPr>
          <w:b/>
        </w:rPr>
        <w:t xml:space="preserve"> Proposal</w:t>
      </w:r>
    </w:p>
    <w:p w14:paraId="4FA3C1EA" w14:textId="77777777" w:rsidR="003C3755" w:rsidRPr="009673A1" w:rsidRDefault="00597E64" w:rsidP="009673A1">
      <w:pPr>
        <w:contextualSpacing/>
        <w:jc w:val="center"/>
      </w:pPr>
      <w:r w:rsidRPr="009673A1">
        <w:t>Working Group One</w:t>
      </w:r>
    </w:p>
    <w:p w14:paraId="58531495" w14:textId="77777777" w:rsidR="00977584" w:rsidRPr="009673A1" w:rsidRDefault="00977584" w:rsidP="009673A1">
      <w:pPr>
        <w:contextualSpacing/>
        <w:jc w:val="center"/>
      </w:pPr>
      <w:r w:rsidRPr="009673A1">
        <w:t>R.17-07-007</w:t>
      </w:r>
    </w:p>
    <w:p w14:paraId="06498B86" w14:textId="77777777" w:rsidR="00445BB7" w:rsidRPr="009673A1" w:rsidRDefault="00977584" w:rsidP="009673A1">
      <w:pPr>
        <w:contextualSpacing/>
        <w:jc w:val="center"/>
        <w:rPr>
          <w:i/>
          <w:color w:val="0070C0"/>
        </w:rPr>
      </w:pPr>
      <w:r w:rsidRPr="009673A1">
        <w:rPr>
          <w:i/>
          <w:color w:val="0070C0"/>
        </w:rPr>
        <w:t>DRAFT</w:t>
      </w:r>
      <w:r w:rsidR="005B0071" w:rsidRPr="009673A1">
        <w:rPr>
          <w:i/>
          <w:color w:val="0070C0"/>
        </w:rPr>
        <w:t xml:space="preserve"> </w:t>
      </w:r>
    </w:p>
    <w:p w14:paraId="4E7A3CAA" w14:textId="77777777" w:rsidR="003C3755" w:rsidRPr="009673A1" w:rsidRDefault="003C3755" w:rsidP="009673A1">
      <w:pPr>
        <w:contextualSpacing/>
      </w:pPr>
    </w:p>
    <w:p w14:paraId="42762D4F" w14:textId="77777777" w:rsidR="008D18A5" w:rsidRPr="009673A1" w:rsidRDefault="009673A1" w:rsidP="009673A1">
      <w:pPr>
        <w:contextualSpacing/>
        <w:jc w:val="center"/>
        <w:rPr>
          <w:i/>
        </w:rPr>
      </w:pPr>
      <w:r w:rsidRPr="009673A1">
        <w:rPr>
          <w:i/>
        </w:rPr>
        <w:t>Issue 7</w:t>
      </w:r>
      <w:r w:rsidR="008D18A5" w:rsidRPr="009673A1">
        <w:rPr>
          <w:i/>
        </w:rPr>
        <w:t xml:space="preserve">: </w:t>
      </w:r>
      <w:r w:rsidRPr="009673A1">
        <w:rPr>
          <w:i/>
        </w:rPr>
        <w:t>Is there inconsistent application of the requirement to pay the Income Tax Component of Contribution (ITCC)</w:t>
      </w:r>
      <w:r w:rsidRPr="009673A1">
        <w:rPr>
          <w:b/>
          <w:i/>
        </w:rPr>
        <w:t xml:space="preserve"> </w:t>
      </w:r>
      <w:r w:rsidRPr="009673A1">
        <w:rPr>
          <w:i/>
        </w:rPr>
        <w:t>charges across the Utilities? If yes, how should the Commission address this inconsistency?</w:t>
      </w:r>
    </w:p>
    <w:p w14:paraId="4AB50A96" w14:textId="77777777" w:rsidR="008D18A5" w:rsidRPr="009673A1" w:rsidRDefault="008D18A5" w:rsidP="009673A1">
      <w:pPr>
        <w:contextualSpacing/>
      </w:pPr>
    </w:p>
    <w:p w14:paraId="1E6402FF" w14:textId="77777777" w:rsidR="008D18A5" w:rsidRPr="004C5F67" w:rsidRDefault="008D18A5" w:rsidP="009673A1">
      <w:pPr>
        <w:pStyle w:val="ListParagraph"/>
        <w:numPr>
          <w:ilvl w:val="0"/>
          <w:numId w:val="9"/>
        </w:numPr>
        <w:rPr>
          <w:b/>
        </w:rPr>
      </w:pPr>
      <w:r w:rsidRPr="004C5F67">
        <w:rPr>
          <w:b/>
        </w:rPr>
        <w:t>Proposal Summary</w:t>
      </w:r>
    </w:p>
    <w:p w14:paraId="7DD3B6B1" w14:textId="77777777" w:rsidR="006D2989" w:rsidRPr="009673A1" w:rsidRDefault="006D2989" w:rsidP="009673A1">
      <w:pPr>
        <w:contextualSpacing/>
        <w:rPr>
          <w:b/>
          <w:u w:val="single"/>
        </w:rPr>
      </w:pPr>
    </w:p>
    <w:p w14:paraId="75608A31" w14:textId="5B0AA874" w:rsidR="00766469" w:rsidRDefault="00D42AA8" w:rsidP="009673A1">
      <w:pPr>
        <w:contextualSpacing/>
      </w:pPr>
      <w:r>
        <w:t xml:space="preserve">The following four proposals were developed by various stakeholders as part of the working group process to address Issue 7.  None have consensus support. </w:t>
      </w:r>
    </w:p>
    <w:p w14:paraId="13A26CAB" w14:textId="77777777" w:rsidR="00766469" w:rsidRDefault="00766469" w:rsidP="009673A1">
      <w:pPr>
        <w:contextualSpacing/>
      </w:pPr>
    </w:p>
    <w:p w14:paraId="592FA121" w14:textId="42ED56C9" w:rsidR="0036501E" w:rsidRDefault="00FF745A" w:rsidP="00C40E9B">
      <w:pPr>
        <w:pStyle w:val="ListParagraph"/>
        <w:numPr>
          <w:ilvl w:val="0"/>
          <w:numId w:val="23"/>
        </w:numPr>
      </w:pPr>
      <w:r>
        <w:rPr>
          <w:u w:val="single"/>
        </w:rPr>
        <w:t>Proposal</w:t>
      </w:r>
      <w:r w:rsidR="00766469" w:rsidRPr="00C40E9B">
        <w:rPr>
          <w:u w:val="single"/>
        </w:rPr>
        <w:t xml:space="preserve"> 1</w:t>
      </w:r>
      <w:r w:rsidR="00766469">
        <w:rPr>
          <w:u w:val="single"/>
        </w:rPr>
        <w:t xml:space="preserve"> - Status Quo</w:t>
      </w:r>
      <w:r w:rsidR="00766469">
        <w:t xml:space="preserve">:  </w:t>
      </w:r>
      <w:r w:rsidR="004D7733">
        <w:t>remain in the status quo</w:t>
      </w:r>
      <w:r w:rsidR="00953921">
        <w:t xml:space="preserve">, </w:t>
      </w:r>
      <w:r w:rsidR="00F77EE6">
        <w:t xml:space="preserve">which is consistent with CPUC Decisions 87-09-026 and 94-06-038, and </w:t>
      </w:r>
      <w:r w:rsidR="00953921">
        <w:t xml:space="preserve">where each IOU </w:t>
      </w:r>
      <w:r w:rsidR="00F77EE6">
        <w:t xml:space="preserve">is authorized and </w:t>
      </w:r>
      <w:r w:rsidR="00953921">
        <w:t xml:space="preserve">retains </w:t>
      </w:r>
      <w:r w:rsidR="004D7733">
        <w:t>the discretion</w:t>
      </w:r>
      <w:r w:rsidR="00EF2B29">
        <w:t xml:space="preserve"> pursuant to CPUC rules</w:t>
      </w:r>
      <w:r w:rsidR="004D7733">
        <w:t xml:space="preserve"> to collect or not </w:t>
      </w:r>
      <w:r w:rsidR="00953921">
        <w:t xml:space="preserve">collect </w:t>
      </w:r>
      <w:r w:rsidR="00904041">
        <w:t xml:space="preserve">ITCC </w:t>
      </w:r>
      <w:r w:rsidR="00953921">
        <w:t xml:space="preserve">security on </w:t>
      </w:r>
      <w:r w:rsidR="007F6955">
        <w:t xml:space="preserve">safe harbor projects. </w:t>
      </w:r>
    </w:p>
    <w:p w14:paraId="134553FF" w14:textId="77777777" w:rsidR="00EF7AB8" w:rsidRDefault="007F6955" w:rsidP="00264B9D">
      <w:pPr>
        <w:pStyle w:val="ListParagraph"/>
        <w:numPr>
          <w:ilvl w:val="1"/>
          <w:numId w:val="23"/>
        </w:numPr>
      </w:pPr>
      <w:r>
        <w:t xml:space="preserve"> </w:t>
      </w:r>
      <w:r w:rsidR="00766469">
        <w:t xml:space="preserve">All the IOUs support </w:t>
      </w:r>
      <w:r w:rsidR="004976A7">
        <w:t>Proposal</w:t>
      </w:r>
      <w:r w:rsidR="00766469">
        <w:t xml:space="preserve"> 1 as the preferred practice on the issue of ITCC security.</w:t>
      </w:r>
    </w:p>
    <w:p w14:paraId="65B40B6A" w14:textId="77777777" w:rsidR="00766469" w:rsidRDefault="00766469" w:rsidP="00C40E9B">
      <w:pPr>
        <w:pStyle w:val="ListParagraph"/>
      </w:pPr>
    </w:p>
    <w:p w14:paraId="4726E109" w14:textId="2FE2E96F" w:rsidR="0036501E" w:rsidRDefault="00FF745A" w:rsidP="00C40E9B">
      <w:pPr>
        <w:pStyle w:val="ListParagraph"/>
        <w:numPr>
          <w:ilvl w:val="0"/>
          <w:numId w:val="23"/>
        </w:numPr>
      </w:pPr>
      <w:r>
        <w:rPr>
          <w:u w:val="single"/>
        </w:rPr>
        <w:t>Proposal</w:t>
      </w:r>
      <w:r w:rsidR="00766469" w:rsidRPr="00C40E9B">
        <w:rPr>
          <w:u w:val="single"/>
        </w:rPr>
        <w:t xml:space="preserve"> 2</w:t>
      </w:r>
      <w:r w:rsidR="00766469">
        <w:rPr>
          <w:u w:val="single"/>
        </w:rPr>
        <w:t xml:space="preserve"> - All Collect</w:t>
      </w:r>
      <w:r w:rsidR="00766469">
        <w:t>:</w:t>
      </w:r>
      <w:r w:rsidR="004D7733">
        <w:t xml:space="preserve"> if </w:t>
      </w:r>
      <w:r w:rsidR="00F77EE6">
        <w:t>consistency is the primary concern of the Commission</w:t>
      </w:r>
      <w:r w:rsidR="004D7733">
        <w:t>, the</w:t>
      </w:r>
      <w:r w:rsidR="00F77EE6">
        <w:t xml:space="preserve">n the </w:t>
      </w:r>
      <w:r w:rsidR="004D7733">
        <w:t xml:space="preserve">IOUs propose to all collect </w:t>
      </w:r>
      <w:r w:rsidR="00904041">
        <w:t xml:space="preserve">ITCC </w:t>
      </w:r>
      <w:r w:rsidR="004D7733">
        <w:t xml:space="preserve">security </w:t>
      </w:r>
      <w:r w:rsidR="00766469">
        <w:t xml:space="preserve">for </w:t>
      </w:r>
      <w:r w:rsidR="007F6955">
        <w:t xml:space="preserve">safe harbor projects, </w:t>
      </w:r>
      <w:r w:rsidR="00953921">
        <w:t>wh</w:t>
      </w:r>
      <w:r w:rsidR="004D7733">
        <w:t xml:space="preserve">ich </w:t>
      </w:r>
      <w:r w:rsidR="00F77EE6">
        <w:t xml:space="preserve">provides </w:t>
      </w:r>
      <w:r w:rsidR="004D7733">
        <w:t>co</w:t>
      </w:r>
      <w:r w:rsidR="00953921">
        <w:t>nsistency across the IOUs but the IOUs acknowledge is</w:t>
      </w:r>
      <w:r w:rsidR="004D7733">
        <w:t xml:space="preserve"> least desirable for stakeholders.  </w:t>
      </w:r>
    </w:p>
    <w:p w14:paraId="3993F5F4" w14:textId="77777777" w:rsidR="00EF7AB8" w:rsidRDefault="004976A7" w:rsidP="00264B9D">
      <w:pPr>
        <w:pStyle w:val="ListParagraph"/>
        <w:numPr>
          <w:ilvl w:val="1"/>
          <w:numId w:val="23"/>
        </w:numPr>
      </w:pPr>
      <w:r>
        <w:t>All the IOUs support Proposal 2, if Proposal</w:t>
      </w:r>
      <w:r w:rsidR="00766469">
        <w:t xml:space="preserve"> 1 is not available. </w:t>
      </w:r>
    </w:p>
    <w:p w14:paraId="7C4F69C1" w14:textId="77777777" w:rsidR="00766469" w:rsidRDefault="00766469" w:rsidP="00C40E9B">
      <w:pPr>
        <w:pStyle w:val="ListParagraph"/>
      </w:pPr>
    </w:p>
    <w:p w14:paraId="0D990255" w14:textId="34EE46ED" w:rsidR="00EF7AB8" w:rsidRDefault="00FF745A" w:rsidP="00264B9D">
      <w:pPr>
        <w:pStyle w:val="ListParagraph"/>
        <w:numPr>
          <w:ilvl w:val="0"/>
          <w:numId w:val="23"/>
        </w:numPr>
      </w:pPr>
      <w:r>
        <w:rPr>
          <w:u w:val="single"/>
        </w:rPr>
        <w:t>Proposal</w:t>
      </w:r>
      <w:r w:rsidR="00766469" w:rsidRPr="00C40E9B">
        <w:rPr>
          <w:u w:val="single"/>
        </w:rPr>
        <w:t xml:space="preserve"> 3</w:t>
      </w:r>
      <w:r w:rsidR="00766469">
        <w:rPr>
          <w:u w:val="single"/>
        </w:rPr>
        <w:t xml:space="preserve"> </w:t>
      </w:r>
      <w:r w:rsidR="00944852">
        <w:rPr>
          <w:u w:val="single"/>
        </w:rPr>
        <w:t>–</w:t>
      </w:r>
      <w:r w:rsidR="00766469">
        <w:rPr>
          <w:u w:val="single"/>
        </w:rPr>
        <w:t xml:space="preserve"> </w:t>
      </w:r>
      <w:r w:rsidR="00944852">
        <w:rPr>
          <w:u w:val="single"/>
        </w:rPr>
        <w:t xml:space="preserve">Modify D94-06-038 to prohibit collection of </w:t>
      </w:r>
      <w:r w:rsidR="00904041">
        <w:rPr>
          <w:u w:val="single"/>
        </w:rPr>
        <w:t xml:space="preserve">ITCC </w:t>
      </w:r>
      <w:r w:rsidR="00944852">
        <w:rPr>
          <w:u w:val="single"/>
        </w:rPr>
        <w:t>security and authorize a recovery mechanism</w:t>
      </w:r>
      <w:r w:rsidR="00766469">
        <w:t xml:space="preserve">:  </w:t>
      </w:r>
    </w:p>
    <w:p w14:paraId="41FB3C0A" w14:textId="5D1CBECE" w:rsidR="00EF7AB8" w:rsidRDefault="00FA61B8" w:rsidP="00264B9D">
      <w:pPr>
        <w:pStyle w:val="ListParagraph"/>
      </w:pPr>
      <w:r>
        <w:t xml:space="preserve">This proposal </w:t>
      </w:r>
      <w:r w:rsidR="00FE1A09">
        <w:t>is</w:t>
      </w:r>
      <w:r>
        <w:t xml:space="preserve"> (a) Modify D94-06-038 to prohibit collection of </w:t>
      </w:r>
      <w:r w:rsidR="00904041">
        <w:t xml:space="preserve">ITCC </w:t>
      </w:r>
      <w:r>
        <w:t xml:space="preserve">security and (b) authorize a recovery mechanism.  </w:t>
      </w:r>
    </w:p>
    <w:p w14:paraId="5E3B1835" w14:textId="5E964177" w:rsidR="00EF7AB8" w:rsidRDefault="00D42AA8" w:rsidP="00264B9D">
      <w:pPr>
        <w:pStyle w:val="ListParagraph"/>
        <w:numPr>
          <w:ilvl w:val="1"/>
          <w:numId w:val="23"/>
        </w:numPr>
      </w:pPr>
      <w:commentRangeStart w:id="1"/>
      <w:r>
        <w:t>Non-utility stakeholders</w:t>
      </w:r>
      <w:commentRangeEnd w:id="1"/>
      <w:r>
        <w:rPr>
          <w:rStyle w:val="CommentReference"/>
        </w:rPr>
        <w:commentReference w:id="1"/>
      </w:r>
      <w:r>
        <w:t xml:space="preserve"> propose that all IOUs stop collecting </w:t>
      </w:r>
      <w:r w:rsidR="00904041">
        <w:t xml:space="preserve">ITCC </w:t>
      </w:r>
      <w:r>
        <w:t>security and the CPUC authorize a recovery mechanism</w:t>
      </w:r>
      <w:r>
        <w:rPr>
          <w:rStyle w:val="CommentReference"/>
        </w:rPr>
        <w:commentReference w:id="2"/>
      </w:r>
      <w:r>
        <w:t>, which is borne by ratepayers, to make the IOUs whole should project</w:t>
      </w:r>
      <w:r w:rsidR="00904041">
        <w:t>s</w:t>
      </w:r>
      <w:r>
        <w:t xml:space="preserve"> </w:t>
      </w:r>
      <w:r w:rsidR="00904041">
        <w:t xml:space="preserve">lose its safe harbor </w:t>
      </w:r>
      <w:r>
        <w:t xml:space="preserve">eligibility </w:t>
      </w:r>
      <w:r w:rsidR="00904041">
        <w:t>status</w:t>
      </w:r>
      <w:r>
        <w:t xml:space="preserve"> and ultimately be subject to a tax liability not covered by the </w:t>
      </w:r>
      <w:r w:rsidR="000C51E1">
        <w:t>generator (</w:t>
      </w:r>
      <w:r>
        <w:t>contributor</w:t>
      </w:r>
      <w:r w:rsidR="000C51E1">
        <w:t>)</w:t>
      </w:r>
      <w:r>
        <w:t>.</w:t>
      </w:r>
      <w:r w:rsidDel="00961958">
        <w:t xml:space="preserve"> </w:t>
      </w:r>
    </w:p>
    <w:p w14:paraId="1C1C9B86" w14:textId="0C775C37" w:rsidR="00EF7AB8" w:rsidRDefault="00FA61B8" w:rsidP="00264B9D">
      <w:pPr>
        <w:pStyle w:val="ListParagraph"/>
        <w:numPr>
          <w:ilvl w:val="1"/>
          <w:numId w:val="23"/>
        </w:numPr>
      </w:pPr>
      <w:r>
        <w:t xml:space="preserve">The IOUs </w:t>
      </w:r>
      <w:r w:rsidR="00231C99">
        <w:t xml:space="preserve">prefer to have the option </w:t>
      </w:r>
      <w:r>
        <w:t>to protect against</w:t>
      </w:r>
      <w:r w:rsidR="00231C99">
        <w:t xml:space="preserve"> a potential</w:t>
      </w:r>
      <w:r>
        <w:t xml:space="preserve"> tax liability as the best practice.  </w:t>
      </w:r>
      <w:r w:rsidR="00F77EE6">
        <w:t xml:space="preserve">If the Commission decides to </w:t>
      </w:r>
      <w:r>
        <w:t>proceed</w:t>
      </w:r>
      <w:r w:rsidR="00FE1A09">
        <w:t xml:space="preserve"> with no security collection</w:t>
      </w:r>
      <w:r>
        <w:t xml:space="preserve">, the IOUs would support recovery through customer rates of costs incurred that is not recovered from the contributor for a taxable liability.  The IOUs </w:t>
      </w:r>
      <w:r w:rsidR="00231C99">
        <w:t>acknowledge</w:t>
      </w:r>
      <w:r>
        <w:t xml:space="preserve"> that the recovery mechanism needs further vetting as establishing a recovery mechanism will need structure, review, and approval by IOU management and the Commission.</w:t>
      </w:r>
    </w:p>
    <w:p w14:paraId="489548CF" w14:textId="77777777" w:rsidR="009045D2" w:rsidRDefault="009045D2" w:rsidP="009045D2">
      <w:pPr>
        <w:ind w:left="1080"/>
      </w:pPr>
    </w:p>
    <w:p w14:paraId="1087173C" w14:textId="77777777" w:rsidR="00EF7AB8" w:rsidRDefault="00D42AA8" w:rsidP="00264B9D">
      <w:pPr>
        <w:pStyle w:val="ListParagraph"/>
        <w:numPr>
          <w:ilvl w:val="0"/>
          <w:numId w:val="23"/>
        </w:numPr>
      </w:pPr>
      <w:r>
        <w:rPr>
          <w:u w:val="single"/>
        </w:rPr>
        <w:t>Proposal 4 – Expand Scope of this issue</w:t>
      </w:r>
      <w:r>
        <w:t>:</w:t>
      </w:r>
    </w:p>
    <w:p w14:paraId="29930B13" w14:textId="77777777" w:rsidR="00EF7AB8" w:rsidRDefault="00D42AA8" w:rsidP="00264B9D">
      <w:pPr>
        <w:pStyle w:val="ListParagraph"/>
        <w:numPr>
          <w:ilvl w:val="1"/>
          <w:numId w:val="23"/>
        </w:numPr>
      </w:pPr>
      <w:r>
        <w:lastRenderedPageBreak/>
        <w:t>…</w:t>
      </w:r>
    </w:p>
    <w:p w14:paraId="0D0407F2" w14:textId="77777777" w:rsidR="00EF7AB8" w:rsidRDefault="00EF7AB8" w:rsidP="00264B9D">
      <w:pPr>
        <w:pStyle w:val="ListParagraph"/>
      </w:pPr>
    </w:p>
    <w:p w14:paraId="4C408524" w14:textId="77777777" w:rsidR="00953921" w:rsidRPr="009673A1" w:rsidRDefault="00953921" w:rsidP="009673A1">
      <w:pPr>
        <w:contextualSpacing/>
      </w:pPr>
    </w:p>
    <w:p w14:paraId="624085A6" w14:textId="77777777" w:rsidR="00926138" w:rsidRPr="004C5F67" w:rsidRDefault="008D18A5" w:rsidP="009673A1">
      <w:pPr>
        <w:pStyle w:val="ListParagraph"/>
        <w:numPr>
          <w:ilvl w:val="0"/>
          <w:numId w:val="9"/>
        </w:numPr>
        <w:rPr>
          <w:b/>
        </w:rPr>
      </w:pPr>
      <w:r w:rsidRPr="004C5F67">
        <w:rPr>
          <w:b/>
        </w:rPr>
        <w:t>Background</w:t>
      </w:r>
    </w:p>
    <w:p w14:paraId="60542DC2" w14:textId="77777777" w:rsidR="009673A1" w:rsidRPr="00264B9D" w:rsidRDefault="009673A1" w:rsidP="009673A1">
      <w:pPr>
        <w:contextualSpacing/>
        <w:rPr>
          <w:b/>
        </w:rPr>
      </w:pPr>
    </w:p>
    <w:p w14:paraId="186C605E" w14:textId="7AE69136" w:rsidR="00AB3282" w:rsidRPr="004C5F67" w:rsidRDefault="00783D52" w:rsidP="009673A1">
      <w:pPr>
        <w:contextualSpacing/>
        <w:rPr>
          <w:b/>
          <w:i/>
        </w:rPr>
      </w:pPr>
      <w:r w:rsidRPr="004C5F67">
        <w:rPr>
          <w:b/>
          <w:i/>
        </w:rPr>
        <w:t>Income Tax Provisions and the Safe Harbor IRS Notice 2016-36</w:t>
      </w:r>
    </w:p>
    <w:p w14:paraId="10B9B76A" w14:textId="77777777" w:rsidR="00AB3282" w:rsidRPr="00264B9D" w:rsidRDefault="00AB3282" w:rsidP="009673A1">
      <w:pPr>
        <w:contextualSpacing/>
        <w:rPr>
          <w:b/>
        </w:rPr>
      </w:pPr>
    </w:p>
    <w:p w14:paraId="3FBE1900" w14:textId="7955FE19" w:rsidR="00AB3282" w:rsidRDefault="00431BF7" w:rsidP="009673A1">
      <w:pPr>
        <w:contextualSpacing/>
      </w:pPr>
      <w:r>
        <w:t xml:space="preserve">Internal Revenue Code Section 118(b) generally treats contributions in aid of construction (CIAC) from customers as </w:t>
      </w:r>
      <w:r w:rsidR="00A60936">
        <w:t>a taxable receipt to the utility</w:t>
      </w:r>
      <w:r w:rsidR="00AB3282">
        <w:t>. CIACs are provided by customers to a utility to construct utility owned assets that will benefit the customer by providing electric</w:t>
      </w:r>
      <w:r w:rsidR="00961958">
        <w:t>, gas or other services</w:t>
      </w:r>
      <w:r w:rsidR="00D02127">
        <w:t xml:space="preserve"> and can take the form of money and/or property.  </w:t>
      </w:r>
    </w:p>
    <w:p w14:paraId="7AD1F761" w14:textId="77777777" w:rsidR="00AB3282" w:rsidRDefault="00AB3282" w:rsidP="009673A1">
      <w:pPr>
        <w:contextualSpacing/>
      </w:pPr>
    </w:p>
    <w:p w14:paraId="640C3108" w14:textId="6495A5F6" w:rsidR="00431BF7" w:rsidRPr="00074998" w:rsidRDefault="00961958" w:rsidP="009673A1">
      <w:pPr>
        <w:contextualSpacing/>
      </w:pPr>
      <w:r>
        <w:t xml:space="preserve">Since </w:t>
      </w:r>
      <w:r w:rsidR="00AB3282">
        <w:t>IOUs are cost-of-service regulated</w:t>
      </w:r>
      <w:r>
        <w:t xml:space="preserve"> and the CIAC results in taxable income</w:t>
      </w:r>
      <w:r w:rsidR="00AB3282">
        <w:t xml:space="preserve">, the IOUs are allowed to collect an income tax component of contribution (ITCC) from the customer in addition to the CIAC to make </w:t>
      </w:r>
      <w:r w:rsidR="002F5EE8">
        <w:t xml:space="preserve">both </w:t>
      </w:r>
      <w:r w:rsidR="00AB3282">
        <w:t xml:space="preserve">the utility </w:t>
      </w:r>
      <w:r>
        <w:t xml:space="preserve">and ratepayers </w:t>
      </w:r>
      <w:r w:rsidR="00AB3282">
        <w:t>whole</w:t>
      </w:r>
      <w:r w:rsidR="002F5EE8">
        <w:t xml:space="preserve">. </w:t>
      </w:r>
      <w:r w:rsidR="00EF2B29">
        <w:t xml:space="preserve">The burden of the tax </w:t>
      </w:r>
      <w:r w:rsidR="003120A9">
        <w:t xml:space="preserve">associated with the CIAC is </w:t>
      </w:r>
      <w:r w:rsidR="003120A9" w:rsidRPr="00074998">
        <w:t>borne by the contributor or advancer based on the premise that the person who causes the tax pays the tax.</w:t>
      </w:r>
      <w:r w:rsidR="00AB3282" w:rsidRPr="00074998">
        <w:t xml:space="preserve"> D. 87-</w:t>
      </w:r>
      <w:r w:rsidR="00EF2B29" w:rsidRPr="00074998">
        <w:t>09-026</w:t>
      </w:r>
      <w:r w:rsidR="00AB3282" w:rsidRPr="00074998">
        <w:t xml:space="preserve"> provide</w:t>
      </w:r>
      <w:r w:rsidR="00EF2B29" w:rsidRPr="00074998">
        <w:t>s</w:t>
      </w:r>
      <w:r w:rsidR="00AB3282" w:rsidRPr="00074998">
        <w:t xml:space="preserve"> </w:t>
      </w:r>
      <w:r w:rsidR="003120A9" w:rsidRPr="00074998">
        <w:t xml:space="preserve">the </w:t>
      </w:r>
      <w:r w:rsidR="002F5EE8" w:rsidRPr="00074998">
        <w:t xml:space="preserve">IOUs </w:t>
      </w:r>
      <w:r w:rsidR="003120A9" w:rsidRPr="00074998">
        <w:t>method</w:t>
      </w:r>
      <w:r w:rsidR="00AB3282" w:rsidRPr="00074998">
        <w:t xml:space="preserve"> for </w:t>
      </w:r>
      <w:r w:rsidR="003120A9" w:rsidRPr="00074998">
        <w:t xml:space="preserve">collecting </w:t>
      </w:r>
      <w:r w:rsidRPr="00074998">
        <w:t>ITCC.</w:t>
      </w:r>
      <w:r w:rsidR="00D02127" w:rsidRPr="00074998">
        <w:t xml:space="preserve"> </w:t>
      </w:r>
    </w:p>
    <w:p w14:paraId="42C1F638" w14:textId="77777777" w:rsidR="00AB3282" w:rsidRPr="00074998" w:rsidRDefault="00AB3282" w:rsidP="009673A1">
      <w:pPr>
        <w:contextualSpacing/>
      </w:pPr>
    </w:p>
    <w:p w14:paraId="260F94EB" w14:textId="6A333541" w:rsidR="007F6955" w:rsidRPr="00074998" w:rsidRDefault="00D02127" w:rsidP="009673A1">
      <w:pPr>
        <w:contextualSpacing/>
      </w:pPr>
      <w:r w:rsidRPr="00074998">
        <w:t xml:space="preserve">ITCC </w:t>
      </w:r>
      <w:r w:rsidR="003120A9" w:rsidRPr="00074998">
        <w:t>is not applicable</w:t>
      </w:r>
      <w:r w:rsidRPr="00074998">
        <w:t xml:space="preserve"> when a transaction is considered nontaxable.  In the 1980s, a</w:t>
      </w:r>
      <w:r w:rsidR="00AB3282" w:rsidRPr="00074998">
        <w:t xml:space="preserve">fter extensive lobbying efforts by the qualified generator (QF) industry, the IRS issued Notice 88-129, which </w:t>
      </w:r>
      <w:r w:rsidRPr="00074998">
        <w:t>exempted</w:t>
      </w:r>
      <w:r w:rsidR="00AB3282" w:rsidRPr="00074998">
        <w:t xml:space="preserve"> certain generator</w:t>
      </w:r>
      <w:r w:rsidR="00961958" w:rsidRPr="00074998">
        <w:t xml:space="preserve"> contributions</w:t>
      </w:r>
      <w:r w:rsidR="00AB3282" w:rsidRPr="00074998">
        <w:t xml:space="preserve"> from being treated as taxable under IRC 118(b) </w:t>
      </w:r>
      <w:r w:rsidRPr="00074998">
        <w:t xml:space="preserve">if certain conditions are </w:t>
      </w:r>
      <w:r w:rsidR="00E509F8" w:rsidRPr="00074998">
        <w:t xml:space="preserve">satisfied </w:t>
      </w:r>
      <w:r w:rsidR="00AB3282" w:rsidRPr="00074998">
        <w:t>(referred to as the Safe Harbor</w:t>
      </w:r>
      <w:r w:rsidRPr="00074998">
        <w:t xml:space="preserve"> or the Notice</w:t>
      </w:r>
      <w:r w:rsidR="00AB3282" w:rsidRPr="00074998">
        <w:t xml:space="preserve">).  </w:t>
      </w:r>
      <w:r w:rsidRPr="00074998">
        <w:t xml:space="preserve">These conditions included satisfying the 5% test and other representations.  </w:t>
      </w:r>
      <w:r w:rsidR="00AB3282" w:rsidRPr="00074998">
        <w:t>Thus, the</w:t>
      </w:r>
      <w:r w:rsidRPr="00074998">
        <w:t>se QF projects</w:t>
      </w:r>
      <w:r w:rsidR="00AB3282" w:rsidRPr="00074998">
        <w:t xml:space="preserve"> </w:t>
      </w:r>
      <w:r w:rsidRPr="00074998">
        <w:t xml:space="preserve">were </w:t>
      </w:r>
      <w:r w:rsidR="00AB3282" w:rsidRPr="00074998">
        <w:t xml:space="preserve">no longer taxable </w:t>
      </w:r>
      <w:r w:rsidR="003120A9" w:rsidRPr="00074998">
        <w:t xml:space="preserve">upon contribution </w:t>
      </w:r>
      <w:r w:rsidR="00AB3282" w:rsidRPr="00074998">
        <w:t>under IRC 118(</w:t>
      </w:r>
      <w:r w:rsidR="00E509F8" w:rsidRPr="00074998">
        <w:t>a</w:t>
      </w:r>
      <w:r w:rsidR="00AB3282" w:rsidRPr="00074998">
        <w:t xml:space="preserve">), </w:t>
      </w:r>
      <w:r w:rsidR="00E509F8" w:rsidRPr="00074998">
        <w:t xml:space="preserve">and although the IOUs did not treat the contributions as </w:t>
      </w:r>
      <w:r w:rsidR="00BB1376" w:rsidRPr="00074998">
        <w:t>taxable</w:t>
      </w:r>
      <w:r w:rsidR="00E509F8" w:rsidRPr="00074998">
        <w:t xml:space="preserve">, they were authorized pursuant to D.94-06-038 to collect security for the tax exposure risk of the transaction </w:t>
      </w:r>
      <w:r w:rsidR="00BB1376" w:rsidRPr="00074998">
        <w:t>subsequently</w:t>
      </w:r>
      <w:r w:rsidR="00E509F8" w:rsidRPr="00074998">
        <w:t xml:space="preserve"> becoming taxable either because </w:t>
      </w:r>
      <w:r w:rsidR="000C51E1" w:rsidRPr="00074998">
        <w:t xml:space="preserve">the project triggered a </w:t>
      </w:r>
      <w:r w:rsidR="00E509F8" w:rsidRPr="00074998">
        <w:t>disqualification e</w:t>
      </w:r>
      <w:r w:rsidR="00BB1376" w:rsidRPr="00074998">
        <w:t>v</w:t>
      </w:r>
      <w:r w:rsidR="00E509F8" w:rsidRPr="00074998">
        <w:t>ent</w:t>
      </w:r>
      <w:r w:rsidR="000C51E1" w:rsidRPr="00074998">
        <w:t xml:space="preserve">, a change in tax law, </w:t>
      </w:r>
      <w:r w:rsidR="00E509F8" w:rsidRPr="00074998">
        <w:t xml:space="preserve">or </w:t>
      </w:r>
      <w:r w:rsidR="000C51E1" w:rsidRPr="00074998">
        <w:t xml:space="preserve">early </w:t>
      </w:r>
      <w:r w:rsidR="00E509F8" w:rsidRPr="00074998">
        <w:t>termination of power purchase agreement.</w:t>
      </w:r>
      <w:r w:rsidR="00AB3282" w:rsidRPr="00074998">
        <w:t xml:space="preserve">  </w:t>
      </w:r>
      <w:r w:rsidR="00784826" w:rsidRPr="00074998">
        <w:t>Subsequently,</w:t>
      </w:r>
      <w:r w:rsidR="00AB3282" w:rsidRPr="00074998">
        <w:t xml:space="preserve"> the IRS has continued to modify Notice 88-129 to expand the scope of the exception</w:t>
      </w:r>
      <w:r w:rsidR="00731A9B" w:rsidRPr="00074998">
        <w:t xml:space="preserve">, with </w:t>
      </w:r>
      <w:r w:rsidR="00AB3282" w:rsidRPr="00074998">
        <w:t xml:space="preserve">each </w:t>
      </w:r>
      <w:r w:rsidR="00731A9B" w:rsidRPr="00074998">
        <w:t>modification removing</w:t>
      </w:r>
      <w:r w:rsidR="00AB3282" w:rsidRPr="00074998">
        <w:t xml:space="preserve"> and </w:t>
      </w:r>
      <w:r w:rsidR="00731A9B" w:rsidRPr="00074998">
        <w:t>superseding</w:t>
      </w:r>
      <w:r w:rsidR="00AB3282" w:rsidRPr="00074998">
        <w:t xml:space="preserve"> prior Notices.  The most current iteration of the Safe Harbor is </w:t>
      </w:r>
      <w:r w:rsidR="003120A9" w:rsidRPr="00074998">
        <w:t xml:space="preserve">IRS </w:t>
      </w:r>
      <w:r w:rsidR="00AB3282" w:rsidRPr="00074998">
        <w:t>Notice 2016-36.</w:t>
      </w:r>
      <w:r w:rsidRPr="00074998">
        <w:t xml:space="preserve">  </w:t>
      </w:r>
      <w:r w:rsidR="00961958" w:rsidRPr="00074998">
        <w:t>I</w:t>
      </w:r>
      <w:r w:rsidRPr="00074998">
        <w:t>f a project that avails itself of the safe harbor fails any of the required conditions</w:t>
      </w:r>
      <w:r w:rsidR="000C51E1" w:rsidRPr="00074998">
        <w:t xml:space="preserve"> for the third time in a rolling 5-year period</w:t>
      </w:r>
      <w:r w:rsidRPr="00074998">
        <w:t xml:space="preserve">, then the transaction becomes taxable in the year of the failure and a tax liability is </w:t>
      </w:r>
      <w:r w:rsidR="00030D75" w:rsidRPr="00074998">
        <w:t xml:space="preserve">incurred by the utility </w:t>
      </w:r>
      <w:r w:rsidRPr="00074998">
        <w:t>trigger</w:t>
      </w:r>
      <w:r w:rsidR="00030D75" w:rsidRPr="00074998">
        <w:t>ing the need for ITCC</w:t>
      </w:r>
      <w:r w:rsidRPr="00074998">
        <w:t xml:space="preserve">. </w:t>
      </w:r>
    </w:p>
    <w:p w14:paraId="3ED0B54B" w14:textId="77777777" w:rsidR="00771663" w:rsidRPr="00074998" w:rsidRDefault="00771663" w:rsidP="009673A1">
      <w:pPr>
        <w:contextualSpacing/>
      </w:pPr>
    </w:p>
    <w:p w14:paraId="67C7C161" w14:textId="78FF16C8" w:rsidR="00731A9B" w:rsidRDefault="00731A9B" w:rsidP="009673A1">
      <w:pPr>
        <w:contextualSpacing/>
      </w:pPr>
      <w:r w:rsidRPr="00074998">
        <w:t xml:space="preserve">The Commission, recognizing that the IOUs were exposed to tax risk for these projects availing itself of the safe harbor (because the non-taxability treatment hinged upon satisfying certain conditions) permitted the IOUs in </w:t>
      </w:r>
      <w:r w:rsidR="00203105" w:rsidRPr="00074998">
        <w:t>D.94-06</w:t>
      </w:r>
      <w:r w:rsidRPr="00074998">
        <w:t>-</w:t>
      </w:r>
      <w:r w:rsidR="00203105" w:rsidRPr="00074998">
        <w:t>038</w:t>
      </w:r>
      <w:r>
        <w:t xml:space="preserve"> to collect </w:t>
      </w:r>
      <w:r w:rsidR="00B40705">
        <w:t xml:space="preserve">ITCC </w:t>
      </w:r>
      <w:r>
        <w:t>security on these projects.</w:t>
      </w:r>
      <w:r w:rsidR="00203105">
        <w:rPr>
          <w:rStyle w:val="FootnoteReference"/>
        </w:rPr>
        <w:footnoteReference w:id="1"/>
      </w:r>
      <w:r>
        <w:t xml:space="preserve">  The decision to collect </w:t>
      </w:r>
      <w:r w:rsidR="00B40705">
        <w:t xml:space="preserve">ITCC </w:t>
      </w:r>
      <w:r>
        <w:t xml:space="preserve">security is subject to IOU discretion and was provided as a means for the IOU to protect </w:t>
      </w:r>
      <w:r w:rsidR="0053259B">
        <w:t xml:space="preserve">IOUs </w:t>
      </w:r>
      <w:r>
        <w:t xml:space="preserve">from </w:t>
      </w:r>
      <w:r w:rsidR="00E638E7">
        <w:t xml:space="preserve">incurring costs for a </w:t>
      </w:r>
      <w:r>
        <w:t>future potential tax liability.   The IOUs</w:t>
      </w:r>
      <w:r w:rsidR="00A60936">
        <w:t xml:space="preserve"> </w:t>
      </w:r>
      <w:r w:rsidR="00C33B1C">
        <w:t xml:space="preserve">have </w:t>
      </w:r>
      <w:r w:rsidR="00C33B1C">
        <w:lastRenderedPageBreak/>
        <w:t xml:space="preserve">allowed the </w:t>
      </w:r>
      <w:r w:rsidR="00B40705">
        <w:t xml:space="preserve">risk of a </w:t>
      </w:r>
      <w:r w:rsidR="00C33B1C">
        <w:t xml:space="preserve">potential tax liability to be satisfied </w:t>
      </w:r>
      <w:r>
        <w:t xml:space="preserve">by </w:t>
      </w:r>
      <w:r w:rsidR="00C33B1C">
        <w:t xml:space="preserve">the collection of </w:t>
      </w:r>
      <w:r w:rsidR="00B40705">
        <w:t xml:space="preserve">ITCC </w:t>
      </w:r>
      <w:r w:rsidR="00C33B1C">
        <w:t xml:space="preserve">security in the form of </w:t>
      </w:r>
      <w:r>
        <w:t>cash</w:t>
      </w:r>
      <w:r w:rsidR="00C33B1C">
        <w:t xml:space="preserve"> or a</w:t>
      </w:r>
      <w:r>
        <w:t xml:space="preserve"> letter of credit</w:t>
      </w:r>
      <w:r w:rsidR="00A60936">
        <w:t xml:space="preserve"> from the contributor</w:t>
      </w:r>
      <w:r>
        <w:t>.</w:t>
      </w:r>
      <w:r w:rsidR="00A60936">
        <w:t xml:space="preserve">  Thus, even though a </w:t>
      </w:r>
      <w:r w:rsidR="00030D75">
        <w:t>contribution</w:t>
      </w:r>
      <w:r w:rsidR="00A60936">
        <w:t xml:space="preserve"> is nontaxable for purposes of IRC 118(b) under the Safe Harbor notice, a project may still be required to </w:t>
      </w:r>
      <w:r w:rsidR="00C33B1C">
        <w:t xml:space="preserve">post a security instrument </w:t>
      </w:r>
      <w:r w:rsidR="00A60936">
        <w:t xml:space="preserve">to protect the utility </w:t>
      </w:r>
      <w:r w:rsidR="00030D75">
        <w:t xml:space="preserve">and ratepayers </w:t>
      </w:r>
      <w:r w:rsidR="00A60936">
        <w:t xml:space="preserve">from </w:t>
      </w:r>
      <w:r w:rsidR="007A6BB2">
        <w:t xml:space="preserve">a </w:t>
      </w:r>
      <w:r w:rsidR="00A60936">
        <w:t xml:space="preserve">future tax risk related to safe harbor failures. </w:t>
      </w:r>
      <w:r w:rsidR="00BE0C44">
        <w:t xml:space="preserve"> </w:t>
      </w:r>
    </w:p>
    <w:p w14:paraId="75529CD9" w14:textId="77777777" w:rsidR="00771663" w:rsidRDefault="00771663" w:rsidP="009673A1">
      <w:pPr>
        <w:contextualSpacing/>
      </w:pPr>
    </w:p>
    <w:p w14:paraId="38B4B6BE" w14:textId="275FA804" w:rsidR="008F44B7" w:rsidRDefault="00BA72B4" w:rsidP="009673A1">
      <w:pPr>
        <w:contextualSpacing/>
      </w:pPr>
      <w:r>
        <w:t xml:space="preserve">It should be noted that the December 2017 tax reform legislation amended by Section 118 to expand </w:t>
      </w:r>
      <w:r w:rsidR="008F44B7">
        <w:t>transactions</w:t>
      </w:r>
      <w:r>
        <w:t xml:space="preserve"> that are taxable </w:t>
      </w:r>
      <w:r w:rsidR="00BB1376">
        <w:t xml:space="preserve">income </w:t>
      </w:r>
      <w:r>
        <w:t>under Section 118 to include</w:t>
      </w:r>
      <w:r w:rsidR="00326199">
        <w:t xml:space="preserve"> "</w:t>
      </w:r>
      <w:r w:rsidR="008F44B7">
        <w:t xml:space="preserve">any contribution </w:t>
      </w:r>
      <w:r w:rsidR="00CF259B">
        <w:t xml:space="preserve">by any governmental entity or civic group (other than a contribution made by a shareholder as such."  The 2017 tax legislation has the potential that the underlying court </w:t>
      </w:r>
      <w:r w:rsidR="001E341F">
        <w:t>cases, which have been previously relied upon by the IOUs to exempt contributions from taxable income on the basis of the safe harbor,</w:t>
      </w:r>
      <w:r w:rsidR="00BB1376">
        <w:t xml:space="preserve"> </w:t>
      </w:r>
      <w:r w:rsidR="00326199">
        <w:t>could now be in jeopardy.  Therefore, the implications of the recent tax reform legislation could impact the safe harbor and due to its recent passage</w:t>
      </w:r>
      <w:r w:rsidR="00771663">
        <w:t xml:space="preserve">, there </w:t>
      </w:r>
      <w:r w:rsidR="00326199">
        <w:t>has not been adequate</w:t>
      </w:r>
      <w:r w:rsidR="00771663">
        <w:t xml:space="preserve"> time</w:t>
      </w:r>
      <w:r w:rsidR="00326199">
        <w:t xml:space="preserve"> for the industry to fully analyze or understand potential ramifications. </w:t>
      </w:r>
    </w:p>
    <w:p w14:paraId="07D369AC" w14:textId="77777777" w:rsidR="00771663" w:rsidRDefault="00771663" w:rsidP="009673A1">
      <w:pPr>
        <w:contextualSpacing/>
      </w:pPr>
    </w:p>
    <w:p w14:paraId="5489AC5F" w14:textId="33F44584" w:rsidR="005D0F91" w:rsidRPr="004C5F67" w:rsidRDefault="00783D52" w:rsidP="00C37E63">
      <w:pPr>
        <w:contextualSpacing/>
        <w:rPr>
          <w:b/>
          <w:i/>
        </w:rPr>
      </w:pPr>
      <w:r w:rsidRPr="004C5F67">
        <w:rPr>
          <w:b/>
          <w:i/>
        </w:rPr>
        <w:t>Applicability to the OIR</w:t>
      </w:r>
    </w:p>
    <w:p w14:paraId="40A69DE4" w14:textId="77777777" w:rsidR="005D0F91" w:rsidRDefault="005D0F91" w:rsidP="009673A1">
      <w:pPr>
        <w:contextualSpacing/>
      </w:pPr>
    </w:p>
    <w:p w14:paraId="0FDAA696" w14:textId="4CE139F2" w:rsidR="0084030C" w:rsidRDefault="00A60936" w:rsidP="009673A1">
      <w:pPr>
        <w:contextualSpacing/>
      </w:pPr>
      <w:r>
        <w:t>The IOUs interpret t</w:t>
      </w:r>
      <w:r w:rsidR="005D0F91">
        <w:t xml:space="preserve">he Safe Harbor provisions </w:t>
      </w:r>
      <w:r>
        <w:t xml:space="preserve">as </w:t>
      </w:r>
      <w:r w:rsidR="005D0F91">
        <w:t>apply</w:t>
      </w:r>
      <w:r>
        <w:t>ing</w:t>
      </w:r>
      <w:r w:rsidR="005D0F91">
        <w:t xml:space="preserve"> to In</w:t>
      </w:r>
      <w:r>
        <w:t>-</w:t>
      </w:r>
      <w:r w:rsidR="005D0F91">
        <w:t>Front</w:t>
      </w:r>
      <w:r>
        <w:t>-</w:t>
      </w:r>
      <w:r w:rsidR="005D0F91">
        <w:t>of</w:t>
      </w:r>
      <w:r>
        <w:t>-</w:t>
      </w:r>
      <w:r w:rsidR="005D0F91">
        <w:t>the</w:t>
      </w:r>
      <w:r>
        <w:t>-</w:t>
      </w:r>
      <w:r w:rsidR="005D0F91">
        <w:t>Meter (IFOM) generators that are either Qualifying Facilities (under CPUC jurisdiction) or wholesale generators selling to third parties</w:t>
      </w:r>
      <w:r w:rsidR="00281539">
        <w:t>,</w:t>
      </w:r>
      <w:r w:rsidR="005D0F91">
        <w:t xml:space="preserve"> including </w:t>
      </w:r>
      <w:r w:rsidR="00281539">
        <w:t xml:space="preserve">the </w:t>
      </w:r>
      <w:r w:rsidR="005D0F91">
        <w:t>host utility or the CAISO market (under FERC jurisdiction)</w:t>
      </w:r>
      <w:r>
        <w:t xml:space="preserve">.  Generally, </w:t>
      </w:r>
      <w:r w:rsidR="00281539">
        <w:t xml:space="preserve">the IOUs perform an assessment of the tax risk related to a project requesting and receiving safe harbor status, and may require a </w:t>
      </w:r>
      <w:r>
        <w:t xml:space="preserve">generator or customer (i.e. contributor) to provide </w:t>
      </w:r>
      <w:r w:rsidR="00F063D9">
        <w:t xml:space="preserve">ITCC </w:t>
      </w:r>
      <w:r>
        <w:t xml:space="preserve">security or an indemnity to guard against </w:t>
      </w:r>
      <w:r w:rsidR="009A3264">
        <w:t xml:space="preserve">a </w:t>
      </w:r>
      <w:r>
        <w:t>future potential tax liability, should the project</w:t>
      </w:r>
      <w:r w:rsidR="00281539">
        <w:t xml:space="preserve"> </w:t>
      </w:r>
      <w:r w:rsidR="009171F6">
        <w:t>lose its safe harbor eligibility status</w:t>
      </w:r>
      <w:r>
        <w:t xml:space="preserve">.  The </w:t>
      </w:r>
      <w:r w:rsidR="009A3264">
        <w:t xml:space="preserve">ITCC </w:t>
      </w:r>
      <w:r>
        <w:t xml:space="preserve">security requirement imposes </w:t>
      </w:r>
      <w:r w:rsidR="008F44B7">
        <w:t xml:space="preserve">a </w:t>
      </w:r>
      <w:r w:rsidR="00C85D17">
        <w:t>financial</w:t>
      </w:r>
      <w:r w:rsidR="008F44B7">
        <w:t xml:space="preserve"> obligation </w:t>
      </w:r>
      <w:r w:rsidR="009A3264">
        <w:t>on the generator,</w:t>
      </w:r>
      <w:r w:rsidR="008F44B7">
        <w:t xml:space="preserve"> </w:t>
      </w:r>
      <w:r w:rsidR="00D64B47">
        <w:t xml:space="preserve">the </w:t>
      </w:r>
      <w:r w:rsidR="008F44B7">
        <w:t xml:space="preserve">carrying costs associated with </w:t>
      </w:r>
      <w:r w:rsidR="009A3264">
        <w:t xml:space="preserve">posting a letter of credit for </w:t>
      </w:r>
      <w:r w:rsidR="00B35B19">
        <w:t>a</w:t>
      </w:r>
      <w:r w:rsidR="009A3264">
        <w:t xml:space="preserve"> potential tax liability.</w:t>
      </w:r>
      <w:r w:rsidR="00C85D17">
        <w:t xml:space="preserve">  </w:t>
      </w:r>
      <w:r w:rsidR="00BE0C44">
        <w:t xml:space="preserve">  </w:t>
      </w:r>
    </w:p>
    <w:p w14:paraId="52358F00" w14:textId="77777777" w:rsidR="00BE0C44" w:rsidRDefault="00BE0C44" w:rsidP="009673A1">
      <w:pPr>
        <w:contextualSpacing/>
      </w:pPr>
    </w:p>
    <w:p w14:paraId="6BBBC9EA" w14:textId="7E0A7E32" w:rsidR="00771663" w:rsidRDefault="00BE0C44" w:rsidP="009673A1">
      <w:pPr>
        <w:contextualSpacing/>
      </w:pPr>
      <w:r>
        <w:t>Additionally, based on recent data responses</w:t>
      </w:r>
      <w:r w:rsidR="00281539">
        <w:t xml:space="preserve">, </w:t>
      </w:r>
      <w:r>
        <w:t>the IOUs</w:t>
      </w:r>
      <w:r w:rsidR="00281539">
        <w:t xml:space="preserve"> </w:t>
      </w:r>
      <w:r w:rsidR="001D5394">
        <w:t xml:space="preserve">confirmed that the IRS has not </w:t>
      </w:r>
      <w:r w:rsidR="003649CD">
        <w:t>identified</w:t>
      </w:r>
      <w:r w:rsidR="001D5394">
        <w:t xml:space="preserve"> </w:t>
      </w:r>
      <w:r w:rsidR="00716222">
        <w:t>in a</w:t>
      </w:r>
      <w:r w:rsidR="001D5394">
        <w:t xml:space="preserve"> prior audit review</w:t>
      </w:r>
      <w:r w:rsidR="00716222">
        <w:t xml:space="preserve">, </w:t>
      </w:r>
      <w:r w:rsidR="001D5394">
        <w:t xml:space="preserve">a project receiving safe harbor treatment </w:t>
      </w:r>
      <w:r w:rsidR="00716222">
        <w:t xml:space="preserve">that </w:t>
      </w:r>
      <w:r w:rsidR="001D5394">
        <w:t>should be reclassified as taxable</w:t>
      </w:r>
      <w:r w:rsidR="00716222">
        <w:t xml:space="preserve"> in the last 10 years</w:t>
      </w:r>
      <w:r w:rsidR="001D5394">
        <w:t xml:space="preserve">.  </w:t>
      </w:r>
      <w:r w:rsidR="00716222">
        <w:t xml:space="preserve">However, </w:t>
      </w:r>
      <w:r w:rsidR="00326199">
        <w:t xml:space="preserve">one should not assume </w:t>
      </w:r>
      <w:r w:rsidR="001D5394">
        <w:t>that the IRS could</w:t>
      </w:r>
      <w:r w:rsidR="00716222">
        <w:t xml:space="preserve">n’t </w:t>
      </w:r>
      <w:r w:rsidR="001D5394">
        <w:t xml:space="preserve">in the future review a </w:t>
      </w:r>
      <w:r w:rsidR="00544B0B">
        <w:t xml:space="preserve">prior </w:t>
      </w:r>
      <w:r w:rsidR="001D5394">
        <w:t xml:space="preserve">safe harbor transaction and determine that </w:t>
      </w:r>
      <w:r w:rsidR="007A6BB2">
        <w:t>it</w:t>
      </w:r>
      <w:r w:rsidR="00D64B47">
        <w:t xml:space="preserve"> no</w:t>
      </w:r>
      <w:r w:rsidR="007A6BB2">
        <w:t xml:space="preserve"> longer</w:t>
      </w:r>
      <w:r w:rsidR="00544B0B">
        <w:t xml:space="preserve"> </w:t>
      </w:r>
      <w:r w:rsidR="007A6BB2">
        <w:t>meets</w:t>
      </w:r>
      <w:r w:rsidR="001D5394">
        <w:t xml:space="preserve"> the</w:t>
      </w:r>
      <w:r w:rsidR="009A3264">
        <w:t xml:space="preserve"> eligibility requirements for </w:t>
      </w:r>
      <w:r w:rsidR="001D5394">
        <w:t xml:space="preserve">safe harbor.  Thus, the tax exposure remains related to the safe harbor projects. </w:t>
      </w:r>
    </w:p>
    <w:p w14:paraId="4D31FB05" w14:textId="77777777" w:rsidR="00357D69" w:rsidRDefault="00357D69" w:rsidP="009673A1">
      <w:pPr>
        <w:contextualSpacing/>
      </w:pPr>
    </w:p>
    <w:p w14:paraId="1177DBC4" w14:textId="57F24E52" w:rsidR="00357D69" w:rsidRPr="004C5F67" w:rsidRDefault="00783D52" w:rsidP="00357D69">
      <w:pPr>
        <w:contextualSpacing/>
        <w:rPr>
          <w:b/>
          <w:i/>
        </w:rPr>
      </w:pPr>
      <w:r w:rsidRPr="004C5F67">
        <w:rPr>
          <w:b/>
          <w:i/>
        </w:rPr>
        <w:t>IOU Safe Harbor Provision</w:t>
      </w:r>
      <w:r w:rsidR="001D5394" w:rsidRPr="004C5F67">
        <w:rPr>
          <w:b/>
          <w:i/>
        </w:rPr>
        <w:t xml:space="preserve"> Applicability Process </w:t>
      </w:r>
    </w:p>
    <w:p w14:paraId="3E36A5BA" w14:textId="77777777" w:rsidR="00431BF7" w:rsidRPr="00C40E9B" w:rsidRDefault="00431BF7" w:rsidP="00357D69">
      <w:pPr>
        <w:contextualSpacing/>
        <w:rPr>
          <w:u w:val="single"/>
        </w:rPr>
      </w:pPr>
    </w:p>
    <w:p w14:paraId="51809AE6" w14:textId="77777777" w:rsidR="00357D69" w:rsidRDefault="00357D69" w:rsidP="00357D69">
      <w:pPr>
        <w:contextualSpacing/>
      </w:pPr>
      <w:r>
        <w:t>The IOUs rely on the generator’s contractual representation that:</w:t>
      </w:r>
    </w:p>
    <w:p w14:paraId="4DC34A96" w14:textId="77777777" w:rsidR="00203105" w:rsidRDefault="00203105" w:rsidP="00357D69">
      <w:pPr>
        <w:contextualSpacing/>
      </w:pPr>
    </w:p>
    <w:p w14:paraId="58113EF2" w14:textId="77777777" w:rsidR="00357D69" w:rsidRDefault="00357D69" w:rsidP="00C40E9B">
      <w:pPr>
        <w:pStyle w:val="ListParagraph"/>
        <w:numPr>
          <w:ilvl w:val="0"/>
          <w:numId w:val="20"/>
        </w:numPr>
      </w:pPr>
      <w:r>
        <w:t>In light of all the information available at the time the intertie is contributed, it is reasonably projected that, during the ten taxable years beginning when the intertie is placed in service, no more than 5% of the projected total power flows over the intertie will flow to the generator</w:t>
      </w:r>
      <w:r>
        <w:rPr>
          <w:rStyle w:val="FootnoteReference"/>
        </w:rPr>
        <w:footnoteReference w:id="2"/>
      </w:r>
    </w:p>
    <w:p w14:paraId="28A8BDAE" w14:textId="77777777" w:rsidR="00357D69" w:rsidRDefault="00357D69" w:rsidP="00C40E9B">
      <w:pPr>
        <w:pStyle w:val="ListParagraph"/>
        <w:numPr>
          <w:ilvl w:val="0"/>
          <w:numId w:val="20"/>
        </w:numPr>
      </w:pPr>
      <w:r>
        <w:lastRenderedPageBreak/>
        <w:t>Ownership of the electricity wheeled over IOU transmission system remains with the generator prior to its transmission onto the grid</w:t>
      </w:r>
      <w:r>
        <w:rPr>
          <w:rStyle w:val="FootnoteReference"/>
        </w:rPr>
        <w:footnoteReference w:id="3"/>
      </w:r>
    </w:p>
    <w:p w14:paraId="6C818809" w14:textId="77777777" w:rsidR="00357D69" w:rsidRDefault="00357D69" w:rsidP="00C40E9B">
      <w:pPr>
        <w:pStyle w:val="ListParagraph"/>
        <w:numPr>
          <w:ilvl w:val="0"/>
          <w:numId w:val="20"/>
        </w:numPr>
      </w:pPr>
      <w:r>
        <w:t>The intertie will be used for transmitting electricity,</w:t>
      </w:r>
      <w:r>
        <w:rPr>
          <w:rStyle w:val="FootnoteReference"/>
        </w:rPr>
        <w:footnoteReference w:id="4"/>
      </w:r>
      <w:r>
        <w:t xml:space="preserve"> and</w:t>
      </w:r>
    </w:p>
    <w:p w14:paraId="404CBA94" w14:textId="77777777" w:rsidR="00357D69" w:rsidRDefault="00357D69" w:rsidP="00C40E9B">
      <w:pPr>
        <w:pStyle w:val="ListParagraph"/>
        <w:numPr>
          <w:ilvl w:val="0"/>
          <w:numId w:val="20"/>
        </w:numPr>
      </w:pPr>
      <w:r>
        <w:t>The cost of the intertie is capitalized by the generator as an intangible asset and recovered using the straight-line method over a useful life that is treated as 20 years.</w:t>
      </w:r>
      <w:r>
        <w:rPr>
          <w:rStyle w:val="FootnoteReference"/>
        </w:rPr>
        <w:footnoteReference w:id="5"/>
      </w:r>
    </w:p>
    <w:p w14:paraId="11EA9BCF" w14:textId="77777777" w:rsidR="00EF7AB8" w:rsidRDefault="00EF7AB8" w:rsidP="00264B9D">
      <w:pPr>
        <w:contextualSpacing/>
      </w:pPr>
    </w:p>
    <w:p w14:paraId="70682232" w14:textId="05B37D87" w:rsidR="00F86C1C" w:rsidRDefault="00F86C1C" w:rsidP="0084030C">
      <w:pPr>
        <w:contextualSpacing/>
      </w:pPr>
      <w:r w:rsidRPr="004C5F67">
        <w:t>SCE’s Application of ITCC to Rule 21 Transactions</w:t>
      </w:r>
      <w:r w:rsidR="004C5F67">
        <w:t>:</w:t>
      </w:r>
    </w:p>
    <w:p w14:paraId="6CE8A6E7" w14:textId="77777777" w:rsidR="007935DF" w:rsidRPr="004C5F67" w:rsidRDefault="007935DF" w:rsidP="0084030C">
      <w:pPr>
        <w:contextualSpacing/>
      </w:pPr>
    </w:p>
    <w:p w14:paraId="65F4DBBC" w14:textId="77777777" w:rsidR="00F86C1C" w:rsidRDefault="0084030C" w:rsidP="00346873">
      <w:pPr>
        <w:pStyle w:val="ListParagraph"/>
        <w:numPr>
          <w:ilvl w:val="0"/>
          <w:numId w:val="19"/>
        </w:numPr>
        <w:ind w:left="720"/>
      </w:pPr>
      <w:r>
        <w:t>SCE applies the general concepts and principles of D.94-06-038 in its Rule 21</w:t>
      </w:r>
      <w:r w:rsidR="00346873">
        <w:t xml:space="preserve"> </w:t>
      </w:r>
      <w:r>
        <w:t>transactions.</w:t>
      </w:r>
    </w:p>
    <w:p w14:paraId="4D5271C2" w14:textId="071316F8" w:rsidR="00EF7AB8" w:rsidRDefault="0084030C" w:rsidP="00264B9D">
      <w:pPr>
        <w:pStyle w:val="ListParagraph"/>
        <w:numPr>
          <w:ilvl w:val="0"/>
          <w:numId w:val="19"/>
        </w:numPr>
        <w:ind w:left="720"/>
      </w:pPr>
      <w:r>
        <w:t xml:space="preserve">To the extent the CIAC from an IFOM generator </w:t>
      </w:r>
      <w:r w:rsidR="00326199">
        <w:t xml:space="preserve">provides written representation that it </w:t>
      </w:r>
      <w:r>
        <w:t>satisfies the requirement of IRS Notice</w:t>
      </w:r>
      <w:r w:rsidR="00716222">
        <w:t xml:space="preserve"> </w:t>
      </w:r>
      <w:r>
        <w:t>2016-36, SCE will not treat the CIAC as taxable and will collect the tax-related security</w:t>
      </w:r>
      <w:r w:rsidR="00F86C1C">
        <w:t xml:space="preserve"> </w:t>
      </w:r>
      <w:r>
        <w:t xml:space="preserve">equal to the ITCC amount in the form of a letter of credit, </w:t>
      </w:r>
      <w:r w:rsidR="00326199">
        <w:t xml:space="preserve">a </w:t>
      </w:r>
      <w:r>
        <w:t xml:space="preserve">corporate </w:t>
      </w:r>
      <w:r w:rsidR="00326199">
        <w:t xml:space="preserve">parent </w:t>
      </w:r>
      <w:r>
        <w:t>guarantee</w:t>
      </w:r>
      <w:r w:rsidR="00544B0B">
        <w:t>,</w:t>
      </w:r>
      <w:r>
        <w:t xml:space="preserve"> or cash.</w:t>
      </w:r>
    </w:p>
    <w:p w14:paraId="6EE2FEB5" w14:textId="0264E623" w:rsidR="0084030C" w:rsidRDefault="0084030C" w:rsidP="00346873">
      <w:pPr>
        <w:pStyle w:val="ListParagraph"/>
        <w:numPr>
          <w:ilvl w:val="0"/>
          <w:numId w:val="19"/>
        </w:numPr>
        <w:ind w:left="720"/>
      </w:pPr>
      <w:r>
        <w:t>To the extent the CIAC from a generator does not satisfy the requirement of IRS Notice</w:t>
      </w:r>
      <w:r w:rsidR="00716222">
        <w:t xml:space="preserve"> </w:t>
      </w:r>
      <w:r>
        <w:t>2016-36, SCE will treat the CIAC as taxable and will collect the tax-related the ITCC</w:t>
      </w:r>
      <w:r w:rsidR="00346873">
        <w:t xml:space="preserve"> </w:t>
      </w:r>
      <w:r>
        <w:t>amount in the form of a cash payment</w:t>
      </w:r>
      <w:r w:rsidR="00B27754">
        <w:t xml:space="preserve"> from the project developer (contributor)</w:t>
      </w:r>
    </w:p>
    <w:p w14:paraId="155260CA" w14:textId="77777777" w:rsidR="0084030C" w:rsidRDefault="0084030C" w:rsidP="0084030C">
      <w:pPr>
        <w:contextualSpacing/>
      </w:pPr>
    </w:p>
    <w:p w14:paraId="1457E2C1" w14:textId="51E3606F" w:rsidR="0084030C" w:rsidRDefault="0084030C" w:rsidP="0084030C">
      <w:pPr>
        <w:contextualSpacing/>
      </w:pPr>
      <w:r w:rsidRPr="004C5F67">
        <w:t>PG&amp;E’s Application of ITCC to Rule 21 Transactions</w:t>
      </w:r>
      <w:r w:rsidR="004C5F67">
        <w:t>:</w:t>
      </w:r>
    </w:p>
    <w:p w14:paraId="3457EB86" w14:textId="77777777" w:rsidR="007935DF" w:rsidRPr="004C5F67" w:rsidRDefault="007935DF" w:rsidP="0084030C">
      <w:pPr>
        <w:contextualSpacing/>
      </w:pPr>
    </w:p>
    <w:p w14:paraId="0AA2B087" w14:textId="77777777" w:rsidR="0084030C" w:rsidRDefault="0084030C" w:rsidP="00346873">
      <w:pPr>
        <w:pStyle w:val="ListParagraph"/>
        <w:numPr>
          <w:ilvl w:val="0"/>
          <w:numId w:val="19"/>
        </w:numPr>
        <w:ind w:left="720"/>
      </w:pPr>
      <w:r>
        <w:t>PG&amp;E acknowledges the general concepts and principles of D.94-06-038 in its Rule 21</w:t>
      </w:r>
      <w:r w:rsidR="00716222">
        <w:t xml:space="preserve"> </w:t>
      </w:r>
      <w:r>
        <w:t>transactions.</w:t>
      </w:r>
    </w:p>
    <w:p w14:paraId="1E5AD72E" w14:textId="73DD8F79" w:rsidR="0084030C" w:rsidRDefault="0084030C" w:rsidP="00346873">
      <w:pPr>
        <w:pStyle w:val="ListParagraph"/>
        <w:numPr>
          <w:ilvl w:val="0"/>
          <w:numId w:val="19"/>
        </w:numPr>
        <w:ind w:left="720"/>
      </w:pPr>
      <w:r>
        <w:t>To the extent the CIAC from an IFOM generator satisfies the requirement of IRS Notice</w:t>
      </w:r>
      <w:r w:rsidR="00716222">
        <w:t xml:space="preserve"> </w:t>
      </w:r>
      <w:r>
        <w:t>2016-</w:t>
      </w:r>
      <w:r w:rsidR="007A6BB2">
        <w:t>36;</w:t>
      </w:r>
      <w:r>
        <w:t xml:space="preserve"> PG&amp;E will not treat the CIAC as taxable and will not collect any tax-related</w:t>
      </w:r>
      <w:r w:rsidR="00346873">
        <w:t xml:space="preserve"> </w:t>
      </w:r>
      <w:r>
        <w:t>ITCC security.</w:t>
      </w:r>
      <w:r w:rsidR="000C7AC7">
        <w:t xml:space="preserve">  PG&amp;E </w:t>
      </w:r>
      <w:r w:rsidR="000C7AC7" w:rsidRPr="009673A1">
        <w:t>reserves the right to require—on a nondiscriminatory basis—an Interconnection Customer to provide such security</w:t>
      </w:r>
      <w:r w:rsidR="000C7AC7">
        <w:t>.</w:t>
      </w:r>
    </w:p>
    <w:p w14:paraId="1DFDB2AA" w14:textId="77777777" w:rsidR="000C7AC7" w:rsidRDefault="000C7AC7" w:rsidP="00346873">
      <w:pPr>
        <w:pStyle w:val="ListParagraph"/>
        <w:numPr>
          <w:ilvl w:val="0"/>
          <w:numId w:val="19"/>
        </w:numPr>
        <w:ind w:left="720"/>
      </w:pPr>
      <w:r>
        <w:t xml:space="preserve">PG&amp;E has also modified its practice to not collect </w:t>
      </w:r>
      <w:r w:rsidR="00544B0B">
        <w:t xml:space="preserve">ITCC </w:t>
      </w:r>
      <w:r>
        <w:t>security and require an indemnification for FERC jurisdictional projects</w:t>
      </w:r>
      <w:r>
        <w:rPr>
          <w:rStyle w:val="FootnoteReference"/>
        </w:rPr>
        <w:footnoteReference w:id="6"/>
      </w:r>
    </w:p>
    <w:p w14:paraId="28BBEB04" w14:textId="77777777" w:rsidR="0084030C" w:rsidRDefault="0084030C" w:rsidP="00346873">
      <w:pPr>
        <w:pStyle w:val="ListParagraph"/>
        <w:numPr>
          <w:ilvl w:val="0"/>
          <w:numId w:val="19"/>
        </w:numPr>
        <w:ind w:left="720"/>
      </w:pPr>
      <w:r>
        <w:lastRenderedPageBreak/>
        <w:t>To the extent the CIAC from a generator does not satisfy the requirement of IRS Notice</w:t>
      </w:r>
      <w:r w:rsidR="00346873">
        <w:t xml:space="preserve"> </w:t>
      </w:r>
      <w:r>
        <w:t>2016-36, PG&amp;E will treat the CIAC as taxable and will collect the tax-related the ITCC</w:t>
      </w:r>
      <w:r w:rsidR="00346873">
        <w:t xml:space="preserve"> </w:t>
      </w:r>
      <w:r>
        <w:t>amount in cash.</w:t>
      </w:r>
    </w:p>
    <w:p w14:paraId="4C33C854" w14:textId="77777777" w:rsidR="0084030C" w:rsidRDefault="0084030C" w:rsidP="0084030C">
      <w:pPr>
        <w:contextualSpacing/>
      </w:pPr>
    </w:p>
    <w:p w14:paraId="79990A1D" w14:textId="1AF76B9A" w:rsidR="0084030C" w:rsidRDefault="0084030C" w:rsidP="0084030C">
      <w:pPr>
        <w:contextualSpacing/>
      </w:pPr>
      <w:r w:rsidRPr="004C5F67">
        <w:t>SEMPRA’s Application of ITCC to Rule 21 Transactions</w:t>
      </w:r>
      <w:r w:rsidR="004C5F67">
        <w:t>:</w:t>
      </w:r>
    </w:p>
    <w:p w14:paraId="2BF3340B" w14:textId="77777777" w:rsidR="007935DF" w:rsidRPr="004C5F67" w:rsidRDefault="007935DF" w:rsidP="0084030C">
      <w:pPr>
        <w:contextualSpacing/>
      </w:pPr>
    </w:p>
    <w:p w14:paraId="7F26054C" w14:textId="77777777" w:rsidR="0084030C" w:rsidRDefault="0084030C" w:rsidP="00780F78">
      <w:pPr>
        <w:pStyle w:val="ListParagraph"/>
        <w:numPr>
          <w:ilvl w:val="0"/>
          <w:numId w:val="18"/>
        </w:numPr>
      </w:pPr>
      <w:r>
        <w:t>SEMPRA acknowledges the general concepts and principles of D.94-06-038 in its Rule</w:t>
      </w:r>
      <w:r w:rsidR="00346873">
        <w:t xml:space="preserve"> </w:t>
      </w:r>
      <w:r>
        <w:t>21 transactions.</w:t>
      </w:r>
    </w:p>
    <w:p w14:paraId="70A64418" w14:textId="77777777" w:rsidR="0084030C" w:rsidRDefault="0084030C" w:rsidP="00346873">
      <w:pPr>
        <w:pStyle w:val="ListParagraph"/>
        <w:numPr>
          <w:ilvl w:val="0"/>
          <w:numId w:val="18"/>
        </w:numPr>
      </w:pPr>
      <w:r>
        <w:t>SEMPRA does not treat CIAC from IFOM generators as taxable and currently does not collect any tax-related ITCC security.</w:t>
      </w:r>
    </w:p>
    <w:p w14:paraId="358F46EE" w14:textId="77777777" w:rsidR="0084030C" w:rsidRDefault="0084030C" w:rsidP="00C40E9B">
      <w:pPr>
        <w:ind w:left="360"/>
      </w:pPr>
    </w:p>
    <w:p w14:paraId="54A0D5D4" w14:textId="77777777" w:rsidR="00AD3C9A" w:rsidRPr="004C5F67" w:rsidRDefault="00AD3C9A" w:rsidP="00AD3C9A">
      <w:pPr>
        <w:shd w:val="clear" w:color="auto" w:fill="FFFFFF"/>
        <w:contextualSpacing/>
        <w:rPr>
          <w:rFonts w:cs="Times New Roman"/>
          <w:b/>
          <w:i/>
          <w:color w:val="222222"/>
        </w:rPr>
      </w:pPr>
      <w:r w:rsidRPr="004C5F67">
        <w:rPr>
          <w:rFonts w:cs="Times New Roman"/>
          <w:b/>
          <w:i/>
          <w:color w:val="222222"/>
        </w:rPr>
        <w:t>Stakeholder Concerns</w:t>
      </w:r>
    </w:p>
    <w:p w14:paraId="3937F6CA" w14:textId="77777777" w:rsidR="009673A1" w:rsidRPr="009673A1" w:rsidRDefault="009673A1" w:rsidP="009673A1">
      <w:pPr>
        <w:contextualSpacing/>
      </w:pPr>
    </w:p>
    <w:p w14:paraId="330375E1" w14:textId="15D60F18" w:rsidR="009673A1" w:rsidRDefault="009673A1" w:rsidP="009673A1">
      <w:pPr>
        <w:contextualSpacing/>
      </w:pPr>
      <w:r w:rsidRPr="009673A1">
        <w:t xml:space="preserve">ITCC </w:t>
      </w:r>
      <w:r w:rsidR="00AD3C9A">
        <w:t>security</w:t>
      </w:r>
      <w:r w:rsidRPr="009673A1">
        <w:t xml:space="preserve">, when </w:t>
      </w:r>
      <w:r w:rsidR="00AD3C9A">
        <w:t>required</w:t>
      </w:r>
      <w:r w:rsidRPr="009673A1">
        <w:t>,</w:t>
      </w:r>
      <w:r w:rsidR="00203105">
        <w:t xml:space="preserve"> can</w:t>
      </w:r>
      <w:r w:rsidRPr="009673A1">
        <w:t xml:space="preserve"> add roughly 30</w:t>
      </w:r>
      <w:commentRangeStart w:id="3"/>
      <w:r w:rsidRPr="009673A1">
        <w:t>%</w:t>
      </w:r>
      <w:r w:rsidR="00346873">
        <w:rPr>
          <w:rStyle w:val="FootnoteReference"/>
        </w:rPr>
        <w:footnoteReference w:id="7"/>
      </w:r>
      <w:commentRangeEnd w:id="3"/>
      <w:r w:rsidR="00B27754">
        <w:rPr>
          <w:rStyle w:val="CommentReference"/>
        </w:rPr>
        <w:commentReference w:id="3"/>
      </w:r>
      <w:r w:rsidRPr="009673A1">
        <w:t xml:space="preserve"> to the cost of upgrades associated with an interconnection request</w:t>
      </w:r>
      <w:r w:rsidR="00AD3C9A">
        <w:t xml:space="preserve"> if cash is the method selected (Letters of Credit and </w:t>
      </w:r>
      <w:r w:rsidR="00B27754">
        <w:t xml:space="preserve">Corporate Parent Guarantees </w:t>
      </w:r>
      <w:r w:rsidR="00AD3C9A">
        <w:t>are also acceptable methods to meet security requirements)</w:t>
      </w:r>
      <w:r w:rsidRPr="009673A1">
        <w:t xml:space="preserve">. As SCE territory’s average total in-front-of-the-meter upgrade costs are approximately $150,000 per </w:t>
      </w:r>
      <w:commentRangeStart w:id="4"/>
      <w:r w:rsidRPr="009673A1">
        <w:t>MW</w:t>
      </w:r>
      <w:commentRangeEnd w:id="4"/>
      <w:r w:rsidR="00B27754">
        <w:rPr>
          <w:rStyle w:val="CommentReference"/>
        </w:rPr>
        <w:commentReference w:id="4"/>
      </w:r>
      <w:r w:rsidRPr="009673A1">
        <w:rPr>
          <w:rStyle w:val="FootnoteReference"/>
        </w:rPr>
        <w:footnoteReference w:id="8"/>
      </w:r>
      <w:r w:rsidRPr="009673A1">
        <w:t xml:space="preserve">, these charges represent the second largest contributor to interconnection costs, despite the </w:t>
      </w:r>
      <w:commentRangeStart w:id="5"/>
      <w:r w:rsidRPr="009673A1">
        <w:t xml:space="preserve">de </w:t>
      </w:r>
      <w:commentRangeEnd w:id="5"/>
      <w:proofErr w:type="spellStart"/>
      <w:r w:rsidR="00716222" w:rsidRPr="009673A1">
        <w:t>minim</w:t>
      </w:r>
      <w:r w:rsidR="00716222">
        <w:t>i</w:t>
      </w:r>
      <w:r w:rsidR="00716222" w:rsidRPr="009673A1">
        <w:t>s</w:t>
      </w:r>
      <w:proofErr w:type="spellEnd"/>
      <w:r w:rsidR="00346873">
        <w:rPr>
          <w:rStyle w:val="CommentReference"/>
        </w:rPr>
        <w:commentReference w:id="5"/>
      </w:r>
      <w:r w:rsidRPr="009673A1">
        <w:t xml:space="preserve"> risk of actual liability being imposed. </w:t>
      </w:r>
    </w:p>
    <w:p w14:paraId="26CE120E" w14:textId="77777777" w:rsidR="00CA11E4" w:rsidRPr="009673A1" w:rsidRDefault="00CA11E4" w:rsidP="009673A1">
      <w:pPr>
        <w:contextualSpacing/>
      </w:pPr>
    </w:p>
    <w:p w14:paraId="4A976A58" w14:textId="25B3DF86" w:rsidR="009673A1" w:rsidRDefault="00CA11E4" w:rsidP="009673A1">
      <w:pPr>
        <w:contextualSpacing/>
        <w:rPr>
          <w:rFonts w:cs="Times New Roman"/>
          <w:color w:val="222222"/>
        </w:rPr>
      </w:pPr>
      <w:r w:rsidRPr="009673A1">
        <w:rPr>
          <w:rFonts w:cs="Times New Roman"/>
          <w:color w:val="222222"/>
        </w:rPr>
        <w:t xml:space="preserve">Posting </w:t>
      </w:r>
      <w:r w:rsidR="00A32842">
        <w:rPr>
          <w:rFonts w:cs="Times New Roman"/>
          <w:color w:val="222222"/>
        </w:rPr>
        <w:t xml:space="preserve">ITCC </w:t>
      </w:r>
      <w:r w:rsidRPr="009673A1">
        <w:rPr>
          <w:rFonts w:cs="Times New Roman"/>
          <w:color w:val="222222"/>
        </w:rPr>
        <w:t>security represents a real cost to developer</w:t>
      </w:r>
      <w:r w:rsidR="00A32842">
        <w:rPr>
          <w:rFonts w:cs="Times New Roman"/>
          <w:color w:val="222222"/>
        </w:rPr>
        <w:t>s</w:t>
      </w:r>
      <w:r w:rsidRPr="009673A1">
        <w:rPr>
          <w:rFonts w:cs="Times New Roman"/>
          <w:color w:val="222222"/>
        </w:rPr>
        <w:t xml:space="preserve">, depriving </w:t>
      </w:r>
      <w:r w:rsidR="00A32842">
        <w:rPr>
          <w:rFonts w:cs="Times New Roman"/>
          <w:color w:val="222222"/>
        </w:rPr>
        <w:t>them</w:t>
      </w:r>
      <w:r w:rsidRPr="009673A1">
        <w:rPr>
          <w:rFonts w:cs="Times New Roman"/>
          <w:color w:val="222222"/>
        </w:rPr>
        <w:t xml:space="preserve"> of capital necessary to develop the project. The more general question that needs to be addressed is whether it is good policy to require a developer to set aside substantial sums every year, over the term of an agreement, to protect the utility from a risk that most likely will never </w:t>
      </w:r>
      <w:commentRangeStart w:id="6"/>
      <w:r w:rsidRPr="009673A1">
        <w:rPr>
          <w:rFonts w:cs="Times New Roman"/>
          <w:color w:val="222222"/>
        </w:rPr>
        <w:t>arise</w:t>
      </w:r>
      <w:commentRangeEnd w:id="6"/>
      <w:r w:rsidR="00B27754">
        <w:rPr>
          <w:rStyle w:val="CommentReference"/>
        </w:rPr>
        <w:commentReference w:id="6"/>
      </w:r>
      <w:r w:rsidRPr="009673A1">
        <w:rPr>
          <w:rFonts w:cs="Times New Roman"/>
          <w:color w:val="222222"/>
        </w:rPr>
        <w:t xml:space="preserve">. Given the limited risk to the utility and real cost to developer, and </w:t>
      </w:r>
      <w:commentRangeStart w:id="7"/>
      <w:r w:rsidRPr="009673A1">
        <w:rPr>
          <w:rFonts w:cs="Times New Roman"/>
          <w:color w:val="222222"/>
        </w:rPr>
        <w:t>subsequent advice or rulings from IRS and FERC,</w:t>
      </w:r>
      <w:commentRangeEnd w:id="7"/>
      <w:r w:rsidR="00E77448">
        <w:rPr>
          <w:rStyle w:val="CommentReference"/>
        </w:rPr>
        <w:commentReference w:id="7"/>
      </w:r>
      <w:r w:rsidRPr="009673A1">
        <w:rPr>
          <w:rFonts w:cs="Times New Roman"/>
          <w:color w:val="222222"/>
        </w:rPr>
        <w:t xml:space="preserve"> the ITCC security requirement warrants reconsideration.</w:t>
      </w:r>
    </w:p>
    <w:p w14:paraId="2DD781D8" w14:textId="77777777" w:rsidR="00CA11E4" w:rsidRDefault="00CA11E4" w:rsidP="009673A1">
      <w:pPr>
        <w:contextualSpacing/>
      </w:pPr>
    </w:p>
    <w:p w14:paraId="3F9D0712" w14:textId="1A0E431F" w:rsidR="00AD3C9A" w:rsidRPr="00C40E9B" w:rsidRDefault="00AD3C9A" w:rsidP="00C40E9B">
      <w:pPr>
        <w:ind w:left="720"/>
        <w:contextualSpacing/>
        <w:rPr>
          <w:i/>
        </w:rPr>
      </w:pPr>
      <w:r w:rsidRPr="00C40E9B">
        <w:rPr>
          <w:i/>
        </w:rPr>
        <w:t xml:space="preserve">IOU Response: </w:t>
      </w:r>
      <w:r w:rsidR="007B7EDB">
        <w:rPr>
          <w:i/>
        </w:rPr>
        <w:t>The IOU</w:t>
      </w:r>
      <w:r w:rsidR="00716222">
        <w:rPr>
          <w:i/>
        </w:rPr>
        <w:t>s</w:t>
      </w:r>
      <w:r w:rsidR="007B7EDB">
        <w:rPr>
          <w:i/>
        </w:rPr>
        <w:t xml:space="preserve"> disagree with the use of</w:t>
      </w:r>
      <w:r w:rsidR="00A32842">
        <w:rPr>
          <w:i/>
        </w:rPr>
        <w:t xml:space="preserve"> the term</w:t>
      </w:r>
      <w:r w:rsidR="007B7EDB">
        <w:rPr>
          <w:i/>
        </w:rPr>
        <w:t xml:space="preserve"> "de </w:t>
      </w:r>
      <w:proofErr w:type="spellStart"/>
      <w:r w:rsidR="007B7EDB">
        <w:rPr>
          <w:i/>
        </w:rPr>
        <w:t>minimis</w:t>
      </w:r>
      <w:proofErr w:type="spellEnd"/>
      <w:r w:rsidR="007B7EDB">
        <w:rPr>
          <w:i/>
        </w:rPr>
        <w:t xml:space="preserve">" risk without further support.  As discussed previously, the IRS on audit can determine that a transaction should be classified as taxable, to which is why </w:t>
      </w:r>
      <w:r w:rsidR="00A32842">
        <w:rPr>
          <w:i/>
        </w:rPr>
        <w:t xml:space="preserve">ITCC </w:t>
      </w:r>
      <w:r w:rsidR="007B7EDB">
        <w:rPr>
          <w:i/>
        </w:rPr>
        <w:t xml:space="preserve">security can be collected to address this risk as consistent with current Commission allowances.  </w:t>
      </w:r>
      <w:r w:rsidR="00B27754">
        <w:rPr>
          <w:i/>
        </w:rPr>
        <w:t xml:space="preserve">In addition, as discussed above, the actual cost </w:t>
      </w:r>
      <w:r w:rsidR="004D5D47">
        <w:rPr>
          <w:i/>
        </w:rPr>
        <w:t xml:space="preserve">impact to the IC’s project </w:t>
      </w:r>
      <w:r w:rsidR="00B27754">
        <w:rPr>
          <w:i/>
        </w:rPr>
        <w:t xml:space="preserve">is the carrying cost of providing the </w:t>
      </w:r>
      <w:r w:rsidR="004D5D47">
        <w:rPr>
          <w:i/>
        </w:rPr>
        <w:t xml:space="preserve">ITCC </w:t>
      </w:r>
      <w:r w:rsidR="00B27754">
        <w:rPr>
          <w:i/>
        </w:rPr>
        <w:t xml:space="preserve">security (developers have the choice </w:t>
      </w:r>
      <w:r w:rsidR="00F44844">
        <w:rPr>
          <w:i/>
        </w:rPr>
        <w:t xml:space="preserve">of </w:t>
      </w:r>
      <w:r w:rsidRPr="00C40E9B">
        <w:rPr>
          <w:i/>
        </w:rPr>
        <w:t>cash, letter of credit</w:t>
      </w:r>
      <w:r w:rsidR="00F44844">
        <w:rPr>
          <w:i/>
        </w:rPr>
        <w:t>,</w:t>
      </w:r>
      <w:r w:rsidR="00B27754">
        <w:rPr>
          <w:i/>
        </w:rPr>
        <w:t xml:space="preserve"> or </w:t>
      </w:r>
      <w:r w:rsidR="00F44844">
        <w:rPr>
          <w:i/>
        </w:rPr>
        <w:t xml:space="preserve">corporate </w:t>
      </w:r>
      <w:r w:rsidR="00B27754">
        <w:rPr>
          <w:i/>
        </w:rPr>
        <w:t>parent guarantee)</w:t>
      </w:r>
      <w:r w:rsidR="007B7EDB">
        <w:rPr>
          <w:i/>
        </w:rPr>
        <w:t xml:space="preserve">.  </w:t>
      </w:r>
      <w:r w:rsidRPr="00C40E9B">
        <w:rPr>
          <w:i/>
        </w:rPr>
        <w:t xml:space="preserve">The cost of capital differs between the </w:t>
      </w:r>
      <w:r w:rsidR="00A32842">
        <w:rPr>
          <w:i/>
        </w:rPr>
        <w:t>three (</w:t>
      </w:r>
      <w:r w:rsidRPr="00C40E9B">
        <w:rPr>
          <w:i/>
        </w:rPr>
        <w:t>3</w:t>
      </w:r>
      <w:r w:rsidR="00A32842">
        <w:rPr>
          <w:i/>
        </w:rPr>
        <w:t>) ITCC</w:t>
      </w:r>
      <w:r w:rsidRPr="00C40E9B">
        <w:rPr>
          <w:i/>
        </w:rPr>
        <w:t xml:space="preserve"> </w:t>
      </w:r>
      <w:r w:rsidR="00203105">
        <w:rPr>
          <w:i/>
        </w:rPr>
        <w:t>security options (cash, letter of credit, or</w:t>
      </w:r>
      <w:r w:rsidR="00275B60">
        <w:rPr>
          <w:i/>
        </w:rPr>
        <w:t xml:space="preserve"> corporate</w:t>
      </w:r>
      <w:r w:rsidR="00203105">
        <w:rPr>
          <w:i/>
        </w:rPr>
        <w:t xml:space="preserve"> </w:t>
      </w:r>
      <w:r w:rsidR="003649CD">
        <w:rPr>
          <w:i/>
        </w:rPr>
        <w:t>parent guarantee</w:t>
      </w:r>
      <w:r w:rsidR="00F44844">
        <w:rPr>
          <w:i/>
        </w:rPr>
        <w:t>)</w:t>
      </w:r>
      <w:r w:rsidRPr="00C40E9B">
        <w:rPr>
          <w:i/>
        </w:rPr>
        <w:t>.</w:t>
      </w:r>
      <w:r w:rsidR="00203105">
        <w:rPr>
          <w:i/>
        </w:rPr>
        <w:t xml:space="preserve">  It should be </w:t>
      </w:r>
      <w:r w:rsidR="00F44844">
        <w:rPr>
          <w:i/>
        </w:rPr>
        <w:t>noted</w:t>
      </w:r>
      <w:r w:rsidR="00203105">
        <w:rPr>
          <w:i/>
        </w:rPr>
        <w:t xml:space="preserve"> that generally IOUs should neither gain nor be harmed in undertaking these </w:t>
      </w:r>
      <w:r w:rsidR="00F44844">
        <w:rPr>
          <w:i/>
        </w:rPr>
        <w:t>IFOM</w:t>
      </w:r>
      <w:r w:rsidR="00203105">
        <w:rPr>
          <w:i/>
        </w:rPr>
        <w:t xml:space="preserve"> projects for contributors. </w:t>
      </w:r>
    </w:p>
    <w:p w14:paraId="062521F2" w14:textId="77777777" w:rsidR="00AD3C9A" w:rsidRPr="009673A1" w:rsidRDefault="00AD3C9A" w:rsidP="009673A1">
      <w:pPr>
        <w:contextualSpacing/>
      </w:pPr>
    </w:p>
    <w:p w14:paraId="599403AD" w14:textId="3031B116" w:rsidR="009673A1" w:rsidRDefault="009673A1" w:rsidP="009673A1">
      <w:pPr>
        <w:shd w:val="clear" w:color="auto" w:fill="FFFFFF"/>
        <w:contextualSpacing/>
        <w:rPr>
          <w:rFonts w:cs="Times New Roman"/>
          <w:color w:val="222222"/>
        </w:rPr>
      </w:pPr>
      <w:r w:rsidRPr="009673A1">
        <w:rPr>
          <w:rFonts w:cs="Times New Roman"/>
          <w:color w:val="222222"/>
        </w:rPr>
        <w:lastRenderedPageBreak/>
        <w:t>While requiring the interconnection customer to post ITCC security protects the utility from</w:t>
      </w:r>
      <w:r w:rsidR="004D5D47">
        <w:rPr>
          <w:rFonts w:cs="Times New Roman"/>
          <w:color w:val="222222"/>
        </w:rPr>
        <w:t xml:space="preserve"> </w:t>
      </w:r>
      <w:proofErr w:type="gramStart"/>
      <w:r w:rsidR="004D5D47">
        <w:rPr>
          <w:rFonts w:cs="Times New Roman"/>
          <w:color w:val="222222"/>
        </w:rPr>
        <w:t>a</w:t>
      </w:r>
      <w:r w:rsidRPr="009673A1">
        <w:rPr>
          <w:rFonts w:cs="Times New Roman"/>
          <w:color w:val="222222"/>
        </w:rPr>
        <w:t xml:space="preserve"> </w:t>
      </w:r>
      <w:r w:rsidR="0080180E">
        <w:rPr>
          <w:rFonts w:cs="Times New Roman"/>
          <w:color w:val="222222"/>
        </w:rPr>
        <w:t xml:space="preserve"> potential</w:t>
      </w:r>
      <w:proofErr w:type="gramEnd"/>
      <w:r w:rsidR="0080180E">
        <w:rPr>
          <w:rFonts w:cs="Times New Roman"/>
          <w:color w:val="222222"/>
        </w:rPr>
        <w:t xml:space="preserve"> </w:t>
      </w:r>
      <w:r w:rsidRPr="009673A1">
        <w:rPr>
          <w:rFonts w:cs="Times New Roman"/>
          <w:color w:val="222222"/>
        </w:rPr>
        <w:t xml:space="preserve">tax liability, this policy may not be cost effective for ratepayers or best advance energy policy, particularly the objective to encourage the development of new renewable generation. </w:t>
      </w:r>
    </w:p>
    <w:p w14:paraId="1E5DD79F" w14:textId="77777777" w:rsidR="00EA7F98" w:rsidRDefault="00EA7F98" w:rsidP="009673A1">
      <w:pPr>
        <w:shd w:val="clear" w:color="auto" w:fill="FFFFFF"/>
        <w:contextualSpacing/>
        <w:rPr>
          <w:rFonts w:cs="Times New Roman"/>
          <w:color w:val="222222"/>
        </w:rPr>
      </w:pPr>
    </w:p>
    <w:p w14:paraId="1125A517" w14:textId="7C0BD795" w:rsidR="00EA7F98" w:rsidRPr="00C40E9B" w:rsidRDefault="00EA7F98" w:rsidP="00C40E9B">
      <w:pPr>
        <w:ind w:left="720"/>
        <w:contextualSpacing/>
        <w:rPr>
          <w:i/>
        </w:rPr>
      </w:pPr>
      <w:r w:rsidRPr="00C40E9B">
        <w:rPr>
          <w:i/>
        </w:rPr>
        <w:t>IOU Response: CPUC Decision (D.) 94-06-038 authorized options for the Utilities to protect itself from a potential tax liability.  The IOUs support the advance</w:t>
      </w:r>
      <w:r w:rsidR="00E77448">
        <w:rPr>
          <w:i/>
        </w:rPr>
        <w:t>ment</w:t>
      </w:r>
      <w:r w:rsidRPr="00C40E9B">
        <w:rPr>
          <w:i/>
        </w:rPr>
        <w:t xml:space="preserve"> of </w:t>
      </w:r>
      <w:r w:rsidR="00E77448">
        <w:rPr>
          <w:i/>
        </w:rPr>
        <w:t xml:space="preserve">cost-effective </w:t>
      </w:r>
      <w:r w:rsidRPr="00C40E9B">
        <w:rPr>
          <w:i/>
        </w:rPr>
        <w:t>renewable generat</w:t>
      </w:r>
      <w:r w:rsidR="00E77448">
        <w:rPr>
          <w:i/>
        </w:rPr>
        <w:t>ion</w:t>
      </w:r>
      <w:r w:rsidRPr="00C40E9B">
        <w:rPr>
          <w:i/>
        </w:rPr>
        <w:t xml:space="preserve"> but </w:t>
      </w:r>
      <w:r w:rsidR="008F7651" w:rsidRPr="00C40E9B">
        <w:rPr>
          <w:i/>
        </w:rPr>
        <w:t>cannot</w:t>
      </w:r>
      <w:r w:rsidRPr="00C40E9B">
        <w:rPr>
          <w:i/>
        </w:rPr>
        <w:t xml:space="preserve"> ignore the risk of a potential tax liability</w:t>
      </w:r>
      <w:r w:rsidR="008F7651" w:rsidRPr="00C40E9B">
        <w:rPr>
          <w:i/>
        </w:rPr>
        <w:t xml:space="preserve"> given</w:t>
      </w:r>
      <w:r w:rsidRPr="00C40E9B">
        <w:rPr>
          <w:i/>
        </w:rPr>
        <w:t xml:space="preserve"> </w:t>
      </w:r>
      <w:r w:rsidR="00356DDD">
        <w:rPr>
          <w:i/>
        </w:rPr>
        <w:t xml:space="preserve">the likelihood of </w:t>
      </w:r>
      <w:r w:rsidR="009343BA" w:rsidRPr="00C40E9B">
        <w:rPr>
          <w:i/>
        </w:rPr>
        <w:t>changes to</w:t>
      </w:r>
      <w:r w:rsidR="008F7651" w:rsidRPr="00C40E9B">
        <w:rPr>
          <w:i/>
        </w:rPr>
        <w:t xml:space="preserve"> IRS requirement</w:t>
      </w:r>
      <w:r w:rsidR="00356DDD">
        <w:rPr>
          <w:i/>
        </w:rPr>
        <w:t>s</w:t>
      </w:r>
      <w:r w:rsidR="009343BA" w:rsidRPr="00C40E9B">
        <w:rPr>
          <w:i/>
        </w:rPr>
        <w:t xml:space="preserve"> </w:t>
      </w:r>
      <w:r w:rsidR="008F7651" w:rsidRPr="00C40E9B">
        <w:rPr>
          <w:i/>
        </w:rPr>
        <w:t xml:space="preserve">and </w:t>
      </w:r>
      <w:r w:rsidR="009343BA" w:rsidRPr="00C40E9B">
        <w:rPr>
          <w:i/>
        </w:rPr>
        <w:t xml:space="preserve">changes to </w:t>
      </w:r>
      <w:r w:rsidR="008F7651" w:rsidRPr="00C40E9B">
        <w:rPr>
          <w:i/>
        </w:rPr>
        <w:t>external factors that drive generator economics</w:t>
      </w:r>
      <w:r w:rsidR="009343BA" w:rsidRPr="00C40E9B">
        <w:rPr>
          <w:i/>
        </w:rPr>
        <w:t>.</w:t>
      </w:r>
      <w:r w:rsidR="00203105">
        <w:rPr>
          <w:i/>
        </w:rPr>
        <w:t xml:space="preserve">  See also response above. </w:t>
      </w:r>
    </w:p>
    <w:p w14:paraId="6C3B0AEA" w14:textId="77777777" w:rsidR="003E41FB" w:rsidRPr="009673A1" w:rsidRDefault="003E41FB" w:rsidP="009673A1">
      <w:pPr>
        <w:shd w:val="clear" w:color="auto" w:fill="FFFFFF"/>
        <w:contextualSpacing/>
        <w:rPr>
          <w:rFonts w:cs="Times New Roman"/>
          <w:color w:val="222222"/>
        </w:rPr>
      </w:pPr>
    </w:p>
    <w:p w14:paraId="301EAF9D" w14:textId="4919C5BF" w:rsidR="009673A1" w:rsidRDefault="009673A1" w:rsidP="009673A1">
      <w:pPr>
        <w:shd w:val="clear" w:color="auto" w:fill="FFFFFF"/>
        <w:contextualSpacing/>
        <w:rPr>
          <w:rFonts w:cs="Times New Roman"/>
          <w:color w:val="222222"/>
        </w:rPr>
      </w:pPr>
      <w:r w:rsidRPr="009673A1">
        <w:rPr>
          <w:rFonts w:cs="Times New Roman"/>
          <w:color w:val="222222"/>
        </w:rPr>
        <w:t xml:space="preserve">The IRS safe harbor notices provide the generator explicit and easy-to-comply-with rules to avoid a taxable event for transactions under interconnection agreements. We are aware of no contribution under an interconnection agreement that has caused a </w:t>
      </w:r>
      <w:r w:rsidR="00B27754">
        <w:rPr>
          <w:rFonts w:cs="Times New Roman"/>
          <w:color w:val="222222"/>
        </w:rPr>
        <w:t xml:space="preserve">distribution </w:t>
      </w:r>
      <w:r w:rsidRPr="009673A1">
        <w:rPr>
          <w:rFonts w:cs="Times New Roman"/>
          <w:color w:val="222222"/>
        </w:rPr>
        <w:t xml:space="preserve">owner to incur an income tax liability. The risk of any utility or ratepayer ITCC exposure, while admittedly greater than zero, is negligible; the corresponding cost to the developer of maintaining the security for the theoretically maximum amount of tax exposure exacts real costs and </w:t>
      </w:r>
      <w:commentRangeStart w:id="8"/>
      <w:r w:rsidRPr="009673A1">
        <w:rPr>
          <w:rFonts w:cs="Times New Roman"/>
          <w:color w:val="222222"/>
        </w:rPr>
        <w:t>necessarily</w:t>
      </w:r>
      <w:commentRangeEnd w:id="8"/>
      <w:r w:rsidR="0080180E">
        <w:rPr>
          <w:rStyle w:val="CommentReference"/>
        </w:rPr>
        <w:commentReference w:id="8"/>
      </w:r>
      <w:r w:rsidRPr="009673A1">
        <w:rPr>
          <w:rFonts w:cs="Times New Roman"/>
          <w:color w:val="222222"/>
        </w:rPr>
        <w:t xml:space="preserve"> impedes project development.</w:t>
      </w:r>
    </w:p>
    <w:p w14:paraId="2443F693" w14:textId="77777777" w:rsidR="00EA7F98" w:rsidRDefault="00EA7F98" w:rsidP="009673A1">
      <w:pPr>
        <w:shd w:val="clear" w:color="auto" w:fill="FFFFFF"/>
        <w:contextualSpacing/>
        <w:rPr>
          <w:rFonts w:cs="Times New Roman"/>
          <w:color w:val="222222"/>
        </w:rPr>
      </w:pPr>
    </w:p>
    <w:p w14:paraId="5E572564" w14:textId="09DA88A4" w:rsidR="00357D69" w:rsidRDefault="00013591" w:rsidP="00C40E9B">
      <w:pPr>
        <w:ind w:left="360"/>
        <w:contextualSpacing/>
        <w:rPr>
          <w:i/>
        </w:rPr>
      </w:pPr>
      <w:r w:rsidRPr="00C40E9B">
        <w:rPr>
          <w:i/>
        </w:rPr>
        <w:t xml:space="preserve">IOU Response: </w:t>
      </w:r>
      <w:r w:rsidR="007A6BB2">
        <w:rPr>
          <w:i/>
        </w:rPr>
        <w:t>ITCC s</w:t>
      </w:r>
      <w:r w:rsidRPr="00C40E9B">
        <w:rPr>
          <w:i/>
        </w:rPr>
        <w:t xml:space="preserve">ecurity is meant to protect </w:t>
      </w:r>
      <w:r w:rsidR="007A6BB2">
        <w:rPr>
          <w:i/>
        </w:rPr>
        <w:t xml:space="preserve">the IOUs </w:t>
      </w:r>
      <w:r w:rsidRPr="00C40E9B">
        <w:rPr>
          <w:i/>
        </w:rPr>
        <w:t xml:space="preserve">against a potential </w:t>
      </w:r>
      <w:r w:rsidR="007A6BB2">
        <w:rPr>
          <w:i/>
        </w:rPr>
        <w:t xml:space="preserve">tax </w:t>
      </w:r>
      <w:r w:rsidRPr="00C40E9B">
        <w:rPr>
          <w:i/>
        </w:rPr>
        <w:t xml:space="preserve">liability </w:t>
      </w:r>
      <w:r w:rsidR="006E39B3">
        <w:rPr>
          <w:i/>
        </w:rPr>
        <w:t>obligation</w:t>
      </w:r>
      <w:r w:rsidR="007A6BB2">
        <w:rPr>
          <w:i/>
        </w:rPr>
        <w:t xml:space="preserve">, </w:t>
      </w:r>
      <w:r w:rsidR="00B27754">
        <w:rPr>
          <w:i/>
        </w:rPr>
        <w:t xml:space="preserve">which </w:t>
      </w:r>
      <w:r w:rsidRPr="00C40E9B">
        <w:rPr>
          <w:i/>
        </w:rPr>
        <w:t>should be considered akin to insurance.  The lack of an accident should not be used as an argument to no longer maintain insurance</w:t>
      </w:r>
      <w:r w:rsidR="0080180E">
        <w:rPr>
          <w:i/>
        </w:rPr>
        <w:t xml:space="preserve"> and support a representation that the tax risk is "negligible"</w:t>
      </w:r>
      <w:r w:rsidRPr="00C40E9B">
        <w:rPr>
          <w:i/>
        </w:rPr>
        <w:t>.</w:t>
      </w:r>
      <w:r w:rsidR="00357D69">
        <w:rPr>
          <w:i/>
        </w:rPr>
        <w:t xml:space="preserve">  In addition, t</w:t>
      </w:r>
      <w:r w:rsidR="00357D69" w:rsidRPr="00357D69">
        <w:rPr>
          <w:i/>
        </w:rPr>
        <w:t xml:space="preserve">here are a number of factors that impact a generator’s ability to remain in compliance with the IRS Safe Harbor Provision. The majority of these factors are outside of </w:t>
      </w:r>
      <w:r w:rsidR="00357D69">
        <w:rPr>
          <w:i/>
        </w:rPr>
        <w:t>IOU</w:t>
      </w:r>
      <w:r w:rsidR="00357D69" w:rsidRPr="00357D69">
        <w:rPr>
          <w:i/>
        </w:rPr>
        <w:t xml:space="preserve"> control. Examples of such factors include:</w:t>
      </w:r>
    </w:p>
    <w:p w14:paraId="50424BD0" w14:textId="77777777" w:rsidR="007D4028" w:rsidRDefault="007D4028" w:rsidP="00C40E9B">
      <w:pPr>
        <w:ind w:left="360"/>
        <w:contextualSpacing/>
        <w:rPr>
          <w:i/>
        </w:rPr>
      </w:pPr>
    </w:p>
    <w:p w14:paraId="1A634647" w14:textId="77777777" w:rsidR="00357D69" w:rsidRPr="00C40E9B" w:rsidRDefault="00357D69" w:rsidP="00C40E9B">
      <w:pPr>
        <w:pStyle w:val="ListParagraph"/>
        <w:numPr>
          <w:ilvl w:val="0"/>
          <w:numId w:val="22"/>
        </w:numPr>
        <w:ind w:left="1080"/>
        <w:rPr>
          <w:i/>
        </w:rPr>
      </w:pPr>
      <w:r w:rsidRPr="00C40E9B">
        <w:rPr>
          <w:i/>
        </w:rPr>
        <w:t>IRS code changes: The utility industry is still waiting for clarification if and how “The Tax Cuts and Jobs Act” signed on December 22, 2017 will impact the provisions of IRC Section 118(b) and the application of the IRS Safe Harbor Provision.</w:t>
      </w:r>
    </w:p>
    <w:p w14:paraId="6D8BD1DB" w14:textId="77777777" w:rsidR="00357D69" w:rsidRPr="00C40E9B" w:rsidRDefault="00357D69" w:rsidP="00C40E9B">
      <w:pPr>
        <w:pStyle w:val="ListParagraph"/>
        <w:numPr>
          <w:ilvl w:val="0"/>
          <w:numId w:val="22"/>
        </w:numPr>
        <w:ind w:left="1080"/>
        <w:rPr>
          <w:i/>
        </w:rPr>
      </w:pPr>
      <w:r w:rsidRPr="00C40E9B">
        <w:rPr>
          <w:i/>
        </w:rPr>
        <w:t xml:space="preserve">Economics: The energy market when the IRS Safe Harbor Provision was introduced is a very different energy market than today. </w:t>
      </w:r>
      <w:r>
        <w:rPr>
          <w:i/>
        </w:rPr>
        <w:t>IOU</w:t>
      </w:r>
      <w:r w:rsidRPr="00C40E9B">
        <w:rPr>
          <w:i/>
        </w:rPr>
        <w:t xml:space="preserve"> procurements are shorter term in nature and contractual terms are less fixed than procurement conducted previously which can contribute to increased risk that a generator may not remain operational.</w:t>
      </w:r>
    </w:p>
    <w:p w14:paraId="27FEA403" w14:textId="0E5698C6" w:rsidR="00357D69" w:rsidRPr="00C40E9B" w:rsidRDefault="00357D69" w:rsidP="00C40E9B">
      <w:pPr>
        <w:pStyle w:val="ListParagraph"/>
        <w:numPr>
          <w:ilvl w:val="0"/>
          <w:numId w:val="22"/>
        </w:numPr>
        <w:ind w:left="1080"/>
        <w:rPr>
          <w:i/>
        </w:rPr>
      </w:pPr>
      <w:r w:rsidRPr="00C40E9B">
        <w:rPr>
          <w:i/>
        </w:rPr>
        <w:t>Generator Size and Interconnection: Generators interconnecting in recent years are smaller in capacity and interconnecting to both transmission and distribution. It may be early to assess how the risks have changed</w:t>
      </w:r>
      <w:r w:rsidR="00C525D5">
        <w:rPr>
          <w:i/>
        </w:rPr>
        <w:t xml:space="preserve"> over time,</w:t>
      </w:r>
      <w:r w:rsidRPr="00C40E9B">
        <w:rPr>
          <w:i/>
        </w:rPr>
        <w:t xml:space="preserve"> but it is important to note that </w:t>
      </w:r>
      <w:r w:rsidR="006E39B3">
        <w:rPr>
          <w:i/>
        </w:rPr>
        <w:t>past</w:t>
      </w:r>
      <w:r w:rsidRPr="00C40E9B">
        <w:rPr>
          <w:i/>
        </w:rPr>
        <w:t xml:space="preserve"> performance of existing generators </w:t>
      </w:r>
      <w:r w:rsidR="006E39B3">
        <w:rPr>
          <w:i/>
        </w:rPr>
        <w:t xml:space="preserve">is not </w:t>
      </w:r>
      <w:r w:rsidR="00C525D5">
        <w:rPr>
          <w:i/>
        </w:rPr>
        <w:t xml:space="preserve">a reliable </w:t>
      </w:r>
      <w:r w:rsidR="006E39B3">
        <w:rPr>
          <w:i/>
        </w:rPr>
        <w:t>indicat</w:t>
      </w:r>
      <w:r w:rsidR="00C525D5">
        <w:rPr>
          <w:i/>
        </w:rPr>
        <w:t>or</w:t>
      </w:r>
      <w:r w:rsidR="006E39B3">
        <w:rPr>
          <w:i/>
        </w:rPr>
        <w:t xml:space="preserve"> </w:t>
      </w:r>
      <w:r w:rsidR="00C525D5">
        <w:rPr>
          <w:i/>
        </w:rPr>
        <w:t>of how we can expect more recently interconnected generators to perform.</w:t>
      </w:r>
    </w:p>
    <w:p w14:paraId="6EE6DED4" w14:textId="77777777" w:rsidR="003E41FB" w:rsidRDefault="003E41FB" w:rsidP="009673A1">
      <w:pPr>
        <w:shd w:val="clear" w:color="auto" w:fill="FFFFFF"/>
        <w:contextualSpacing/>
        <w:rPr>
          <w:rFonts w:cs="Times New Roman"/>
          <w:color w:val="222222"/>
        </w:rPr>
      </w:pPr>
    </w:p>
    <w:p w14:paraId="29FF5FC1" w14:textId="77777777" w:rsidR="003E41FB" w:rsidRPr="004C5F67" w:rsidRDefault="003E41FB" w:rsidP="009673A1">
      <w:pPr>
        <w:shd w:val="clear" w:color="auto" w:fill="FFFFFF"/>
        <w:contextualSpacing/>
        <w:rPr>
          <w:rFonts w:cs="Times New Roman"/>
          <w:b/>
          <w:i/>
          <w:color w:val="222222"/>
        </w:rPr>
      </w:pPr>
      <w:r w:rsidRPr="004C5F67">
        <w:rPr>
          <w:rFonts w:cs="Times New Roman"/>
          <w:b/>
          <w:i/>
          <w:color w:val="222222"/>
        </w:rPr>
        <w:t>Current Status</w:t>
      </w:r>
    </w:p>
    <w:p w14:paraId="450948F4" w14:textId="77777777" w:rsidR="003E41FB" w:rsidRDefault="003E41FB" w:rsidP="009673A1">
      <w:pPr>
        <w:shd w:val="clear" w:color="auto" w:fill="FFFFFF"/>
        <w:contextualSpacing/>
        <w:rPr>
          <w:rFonts w:cs="Times New Roman"/>
          <w:color w:val="222222"/>
        </w:rPr>
      </w:pPr>
    </w:p>
    <w:p w14:paraId="1706F874" w14:textId="29A1DB8A" w:rsidR="00013591" w:rsidRPr="003E41FB" w:rsidRDefault="003E41FB" w:rsidP="003E41FB">
      <w:pPr>
        <w:contextualSpacing/>
      </w:pPr>
      <w:r w:rsidRPr="009673A1">
        <w:t>PG&amp;E, SCE, and SDG&amp;E have differ</w:t>
      </w:r>
      <w:r>
        <w:t>ent</w:t>
      </w:r>
      <w:r w:rsidRPr="009673A1">
        <w:t xml:space="preserve"> numbers of Rule 21 interconnections claiming Safe Harbor, and different practices regarding </w:t>
      </w:r>
      <w:r w:rsidR="00064B4D">
        <w:t xml:space="preserve">ITCC </w:t>
      </w:r>
      <w:r w:rsidRPr="009673A1">
        <w:t>security posting requirements, all of which are compliant with Commission rules</w:t>
      </w:r>
      <w:r w:rsidR="00CA11E4">
        <w:t xml:space="preserve"> and the Internal Revenue Code</w:t>
      </w:r>
      <w:r w:rsidRPr="009673A1">
        <w:t xml:space="preserve">. </w:t>
      </w:r>
      <w:r w:rsidR="00CA11E4">
        <w:t xml:space="preserve"> </w:t>
      </w:r>
      <w:r w:rsidRPr="009673A1">
        <w:t xml:space="preserve">PG&amp;E </w:t>
      </w:r>
      <w:r w:rsidR="00013591">
        <w:t xml:space="preserve">has </w:t>
      </w:r>
      <w:r w:rsidR="00064B4D">
        <w:t>two (</w:t>
      </w:r>
      <w:r w:rsidR="00013591">
        <w:t>2</w:t>
      </w:r>
      <w:r w:rsidR="00064B4D">
        <w:t>)</w:t>
      </w:r>
      <w:r w:rsidR="00013591">
        <w:t xml:space="preserve"> eligible </w:t>
      </w:r>
      <w:r w:rsidR="00013591">
        <w:lastRenderedPageBreak/>
        <w:t xml:space="preserve">applications and SDG&amp;E has </w:t>
      </w:r>
      <w:r w:rsidR="00064B4D">
        <w:t>zero (</w:t>
      </w:r>
      <w:r w:rsidR="00013591">
        <w:t>0</w:t>
      </w:r>
      <w:r w:rsidR="00064B4D">
        <w:t>)</w:t>
      </w:r>
      <w:r w:rsidRPr="009673A1">
        <w:t xml:space="preserve"> eligible applications in the past ten years and neither currently require </w:t>
      </w:r>
      <w:r w:rsidR="00064B4D">
        <w:t>ITCC security</w:t>
      </w:r>
      <w:r w:rsidRPr="009673A1">
        <w:t xml:space="preserve">, although they retain the authority to do so. SCE does </w:t>
      </w:r>
      <w:proofErr w:type="gramStart"/>
      <w:r w:rsidRPr="009673A1">
        <w:t xml:space="preserve">require  </w:t>
      </w:r>
      <w:r w:rsidR="00064B4D">
        <w:t>ITCC</w:t>
      </w:r>
      <w:proofErr w:type="gramEnd"/>
      <w:r w:rsidR="00064B4D">
        <w:t xml:space="preserve"> </w:t>
      </w:r>
      <w:r w:rsidRPr="009673A1">
        <w:t xml:space="preserve">security, and has 61 Rule 21 projects interconnected under Safe Harbor, with current </w:t>
      </w:r>
      <w:r w:rsidR="003649CD">
        <w:t xml:space="preserve">total project </w:t>
      </w:r>
      <w:r w:rsidRPr="009673A1">
        <w:t>security postings of approximately $2.4 million</w:t>
      </w:r>
      <w:r w:rsidR="003649CD">
        <w:t xml:space="preserve"> </w:t>
      </w:r>
      <w:r w:rsidRPr="009673A1">
        <w:t xml:space="preserve">. </w:t>
      </w:r>
      <w:r w:rsidR="008F29AB">
        <w:t xml:space="preserve">The scope of the data request did not include safe harbor eligible applications under </w:t>
      </w:r>
      <w:r w:rsidRPr="009673A1">
        <w:t>FERC jurisdict</w:t>
      </w:r>
      <w:r w:rsidR="008F29AB">
        <w:t>ion</w:t>
      </w:r>
      <w:r w:rsidRPr="009673A1">
        <w:t xml:space="preserve">. </w:t>
      </w:r>
    </w:p>
    <w:p w14:paraId="0176485F" w14:textId="77777777" w:rsidR="003E41FB" w:rsidRPr="009673A1" w:rsidRDefault="003E41FB" w:rsidP="009673A1">
      <w:pPr>
        <w:contextualSpacing/>
        <w:rPr>
          <w:color w:val="000000" w:themeColor="text1"/>
        </w:rPr>
      </w:pPr>
    </w:p>
    <w:p w14:paraId="31C309E7" w14:textId="77777777" w:rsidR="003C3755" w:rsidRPr="004C5F67" w:rsidRDefault="009673A1" w:rsidP="00C40E9B">
      <w:pPr>
        <w:pStyle w:val="ListParagraph"/>
        <w:numPr>
          <w:ilvl w:val="0"/>
          <w:numId w:val="9"/>
        </w:numPr>
      </w:pPr>
      <w:r w:rsidRPr="004C5F67">
        <w:rPr>
          <w:b/>
          <w:color w:val="000000" w:themeColor="text1"/>
        </w:rPr>
        <w:t>Working Group Proposal</w:t>
      </w:r>
      <w:r w:rsidR="003E41FB" w:rsidRPr="004C5F67">
        <w:rPr>
          <w:b/>
          <w:color w:val="000000" w:themeColor="text1"/>
        </w:rPr>
        <w:t>s</w:t>
      </w:r>
    </w:p>
    <w:p w14:paraId="248A9AA1" w14:textId="77777777" w:rsidR="004C5F67" w:rsidRPr="004C5F67" w:rsidRDefault="004C5F67" w:rsidP="004C5F67"/>
    <w:p w14:paraId="225FAEE6" w14:textId="77777777" w:rsidR="00604891" w:rsidRDefault="00604891" w:rsidP="004C5F67">
      <w:pPr>
        <w:pStyle w:val="Heading2"/>
        <w:numPr>
          <w:ilvl w:val="0"/>
          <w:numId w:val="0"/>
        </w:numPr>
        <w:spacing w:before="0" w:after="0"/>
        <w:rPr>
          <w:b/>
        </w:rPr>
      </w:pPr>
      <w:r w:rsidRPr="002F16CA">
        <w:rPr>
          <w:b/>
        </w:rPr>
        <w:t xml:space="preserve">Proposal </w:t>
      </w:r>
      <w:r>
        <w:rPr>
          <w:b/>
        </w:rPr>
        <w:t>1</w:t>
      </w:r>
      <w:r w:rsidRPr="002F16CA">
        <w:rPr>
          <w:b/>
        </w:rPr>
        <w:t xml:space="preserve">: </w:t>
      </w:r>
      <w:r>
        <w:rPr>
          <w:b/>
        </w:rPr>
        <w:t>For “Safe Harbor” systems, the Commission should continue to authorize the IOUs to protect against potential tax liability under the options provided in D 94-06-038 (Remain Status Quo)</w:t>
      </w:r>
    </w:p>
    <w:p w14:paraId="20E7AE4A" w14:textId="77777777" w:rsidR="004C5F67" w:rsidRPr="004C5F67" w:rsidRDefault="004C5F67" w:rsidP="004C5F67"/>
    <w:p w14:paraId="4BC57393" w14:textId="77777777" w:rsidR="00604891" w:rsidRDefault="00604891" w:rsidP="00604891">
      <w:pPr>
        <w:contextualSpacing/>
      </w:pPr>
      <w:r w:rsidRPr="003E41FB">
        <w:rPr>
          <w:u w:val="single"/>
        </w:rPr>
        <w:t>Summary:</w:t>
      </w:r>
      <w:r>
        <w:t xml:space="preserve"> Each Utility evaluates its own risk tolerance level and decides which option under CPUC Decision 94-06-038 works best to protect against potential tax liability and has the discretion to adjust based on updates to </w:t>
      </w:r>
      <w:r w:rsidR="003D2734">
        <w:t>risk and risk tolerance levels.</w:t>
      </w:r>
    </w:p>
    <w:p w14:paraId="70EFB191" w14:textId="77777777" w:rsidR="003D2734" w:rsidRPr="00C40E9B" w:rsidRDefault="003D2734" w:rsidP="00604891">
      <w:pPr>
        <w:contextualSpacing/>
      </w:pPr>
    </w:p>
    <w:p w14:paraId="21381F11" w14:textId="1CB269FC" w:rsidR="00E67DFA" w:rsidRPr="000A7F9F" w:rsidRDefault="00604891" w:rsidP="00604891">
      <w:pPr>
        <w:contextualSpacing/>
      </w:pPr>
      <w:r w:rsidRPr="000A7F9F">
        <w:rPr>
          <w:u w:val="single"/>
        </w:rPr>
        <w:t>Status:</w:t>
      </w:r>
      <w:r w:rsidRPr="000A7F9F">
        <w:t xml:space="preserve"> </w:t>
      </w:r>
      <w:r>
        <w:t>[</w:t>
      </w:r>
      <w:r w:rsidRPr="003E41FB">
        <w:rPr>
          <w:highlight w:val="yellow"/>
        </w:rPr>
        <w:t>Non-Consensus</w:t>
      </w:r>
      <w:r>
        <w:t>]</w:t>
      </w:r>
      <w:r w:rsidR="00D30BB1">
        <w:t xml:space="preserve"> </w:t>
      </w:r>
      <w:r w:rsidR="00BC6DA3">
        <w:t>SCE, PG&amp;E and SDG&amp;E</w:t>
      </w:r>
      <w:r w:rsidR="00D30BB1">
        <w:t xml:space="preserve"> </w:t>
      </w:r>
      <w:r w:rsidR="00F50E9D">
        <w:t>support.</w:t>
      </w:r>
    </w:p>
    <w:p w14:paraId="010C807C" w14:textId="77777777" w:rsidR="00604891" w:rsidRPr="000A7F9F" w:rsidRDefault="00604891" w:rsidP="00604891">
      <w:pPr>
        <w:contextualSpacing/>
        <w:rPr>
          <w:u w:val="single"/>
        </w:rPr>
      </w:pPr>
    </w:p>
    <w:p w14:paraId="57A9B617" w14:textId="77777777" w:rsidR="00604891" w:rsidRDefault="00604891" w:rsidP="00604891">
      <w:pPr>
        <w:contextualSpacing/>
        <w:rPr>
          <w:u w:val="single"/>
        </w:rPr>
      </w:pPr>
      <w:r w:rsidRPr="000A7F9F">
        <w:rPr>
          <w:u w:val="single"/>
        </w:rPr>
        <w:t>Discussion:</w:t>
      </w:r>
      <w:r>
        <w:rPr>
          <w:u w:val="single"/>
        </w:rPr>
        <w:t xml:space="preserve"> </w:t>
      </w:r>
    </w:p>
    <w:p w14:paraId="24BB6E2B" w14:textId="77777777" w:rsidR="00CA11E4" w:rsidRDefault="00CA11E4" w:rsidP="00604891">
      <w:pPr>
        <w:contextualSpacing/>
        <w:rPr>
          <w:u w:val="single"/>
        </w:rPr>
      </w:pPr>
    </w:p>
    <w:p w14:paraId="457E3672" w14:textId="77777777" w:rsidR="00D42AA8" w:rsidRDefault="00604891" w:rsidP="00604891">
      <w:pPr>
        <w:contextualSpacing/>
      </w:pPr>
      <w:r>
        <w:t xml:space="preserve">IOU Discussion: </w:t>
      </w:r>
    </w:p>
    <w:p w14:paraId="78FF15A2" w14:textId="62758AAC" w:rsidR="004C5F67" w:rsidRDefault="00604891" w:rsidP="004C5F67">
      <w:pPr>
        <w:pStyle w:val="ListParagraph"/>
        <w:numPr>
          <w:ilvl w:val="0"/>
          <w:numId w:val="31"/>
        </w:numPr>
        <w:contextualSpacing w:val="0"/>
      </w:pPr>
      <w:r>
        <w:t xml:space="preserve">This is the IOU preferred proposal.  The IOUs are responsible for its risk and managing its risk.  The </w:t>
      </w:r>
      <w:r w:rsidR="00030D75">
        <w:t xml:space="preserve">1987 and </w:t>
      </w:r>
      <w:r>
        <w:t>1994 Decision</w:t>
      </w:r>
      <w:r w:rsidR="00030D75">
        <w:t>s</w:t>
      </w:r>
      <w:r>
        <w:t xml:space="preserve"> authorizes the IOUs to protect itself and ratepayers from potential tax liability and hold the contributor responsible.  Absent the contributor, there would be no potential tax liability and therefore the responsibility to cover the costs should be borne by the contributor.  This aligns with the cost causation principle and therefore remains as the Utilities</w:t>
      </w:r>
      <w:r w:rsidR="00CA11E4">
        <w:t>’</w:t>
      </w:r>
      <w:r>
        <w:t xml:space="preserve"> preferred approach.</w:t>
      </w:r>
      <w:r w:rsidR="00FF745A">
        <w:t xml:space="preserve">  Furthermore, it should be remembered that IOUs should </w:t>
      </w:r>
      <w:r w:rsidR="006508D6">
        <w:t>neither gain nor</w:t>
      </w:r>
      <w:r w:rsidR="00FF745A">
        <w:t xml:space="preserve"> lose on taking on CIAC </w:t>
      </w:r>
      <w:r w:rsidR="00BA37A1">
        <w:t>projects;</w:t>
      </w:r>
      <w:r w:rsidR="00FF745A">
        <w:t xml:space="preserve"> therefore the IOU should be permitted discretion to protect itself. </w:t>
      </w:r>
    </w:p>
    <w:p w14:paraId="171A6648" w14:textId="77777777" w:rsidR="004C5F67" w:rsidRDefault="004C5F67" w:rsidP="004C5F67">
      <w:pPr>
        <w:pStyle w:val="Heading2"/>
        <w:numPr>
          <w:ilvl w:val="0"/>
          <w:numId w:val="0"/>
        </w:numPr>
        <w:spacing w:before="0" w:after="0"/>
        <w:rPr>
          <w:b/>
        </w:rPr>
      </w:pPr>
    </w:p>
    <w:p w14:paraId="6EE54298" w14:textId="77777777" w:rsidR="00604891" w:rsidRDefault="00604891" w:rsidP="004C5F67">
      <w:pPr>
        <w:pStyle w:val="Heading2"/>
        <w:numPr>
          <w:ilvl w:val="0"/>
          <w:numId w:val="0"/>
        </w:numPr>
        <w:spacing w:before="0" w:after="0"/>
        <w:rPr>
          <w:b/>
        </w:rPr>
      </w:pPr>
      <w:r w:rsidRPr="002F16CA">
        <w:rPr>
          <w:b/>
        </w:rPr>
        <w:t xml:space="preserve">Proposal </w:t>
      </w:r>
      <w:r>
        <w:rPr>
          <w:b/>
        </w:rPr>
        <w:t>2</w:t>
      </w:r>
      <w:r w:rsidRPr="002F16CA">
        <w:rPr>
          <w:b/>
        </w:rPr>
        <w:t xml:space="preserve">: </w:t>
      </w:r>
      <w:r>
        <w:rPr>
          <w:b/>
        </w:rPr>
        <w:t xml:space="preserve">For “Safe Harbor” systems, the Commission should </w:t>
      </w:r>
      <w:r w:rsidR="003D2734">
        <w:rPr>
          <w:b/>
        </w:rPr>
        <w:t>require the</w:t>
      </w:r>
      <w:r>
        <w:rPr>
          <w:b/>
        </w:rPr>
        <w:t xml:space="preserve"> IOUs to protect against potential tax liability </w:t>
      </w:r>
      <w:r w:rsidR="003D2734">
        <w:rPr>
          <w:b/>
        </w:rPr>
        <w:t xml:space="preserve">consistently by collecting security </w:t>
      </w:r>
      <w:r>
        <w:rPr>
          <w:b/>
        </w:rPr>
        <w:t>(</w:t>
      </w:r>
      <w:r w:rsidR="003D2734">
        <w:rPr>
          <w:b/>
        </w:rPr>
        <w:t>All Collect</w:t>
      </w:r>
      <w:r>
        <w:rPr>
          <w:b/>
        </w:rPr>
        <w:t>)</w:t>
      </w:r>
    </w:p>
    <w:p w14:paraId="5255DA00" w14:textId="77777777" w:rsidR="004C5F67" w:rsidRPr="004C5F67" w:rsidRDefault="004C5F67" w:rsidP="004C5F67"/>
    <w:p w14:paraId="6C38A519" w14:textId="77777777" w:rsidR="00604891" w:rsidRDefault="00604891" w:rsidP="00604891">
      <w:pPr>
        <w:contextualSpacing/>
      </w:pPr>
      <w:r w:rsidRPr="003E41FB">
        <w:rPr>
          <w:u w:val="single"/>
        </w:rPr>
        <w:t>Summary:</w:t>
      </w:r>
      <w:r w:rsidR="003D2734">
        <w:t xml:space="preserve"> For consistency sake, each IOU under this proposal would collect security to protect against potential tax liability.  </w:t>
      </w:r>
    </w:p>
    <w:p w14:paraId="54228EDE" w14:textId="77777777" w:rsidR="00604891" w:rsidRPr="000A7F9F" w:rsidRDefault="00604891" w:rsidP="00604891">
      <w:pPr>
        <w:contextualSpacing/>
        <w:rPr>
          <w:u w:val="single"/>
        </w:rPr>
      </w:pPr>
    </w:p>
    <w:p w14:paraId="1CCFED93" w14:textId="3D6331B5" w:rsidR="00E67DFA" w:rsidRDefault="00604891" w:rsidP="00604891">
      <w:pPr>
        <w:contextualSpacing/>
      </w:pPr>
      <w:r w:rsidRPr="000A7F9F">
        <w:rPr>
          <w:u w:val="single"/>
        </w:rPr>
        <w:t>Status:</w:t>
      </w:r>
      <w:r w:rsidRPr="000A7F9F">
        <w:t xml:space="preserve"> </w:t>
      </w:r>
      <w:r>
        <w:t>[</w:t>
      </w:r>
      <w:r w:rsidRPr="003E41FB">
        <w:rPr>
          <w:highlight w:val="yellow"/>
        </w:rPr>
        <w:t>Non-Consensus</w:t>
      </w:r>
      <w:r>
        <w:t>]</w:t>
      </w:r>
      <w:r w:rsidR="00D30BB1">
        <w:t xml:space="preserve"> </w:t>
      </w:r>
      <w:r w:rsidR="006E54B3">
        <w:t xml:space="preserve">SCE, PG&amp;E and SDG&amp;E </w:t>
      </w:r>
      <w:r w:rsidR="00D30BB1">
        <w:t>support this proposal but prefer Proposal 1.</w:t>
      </w:r>
    </w:p>
    <w:p w14:paraId="6FD9EC9A" w14:textId="77777777" w:rsidR="00604891" w:rsidRPr="000A7F9F" w:rsidRDefault="00604891" w:rsidP="00604891">
      <w:pPr>
        <w:contextualSpacing/>
        <w:rPr>
          <w:u w:val="single"/>
        </w:rPr>
      </w:pPr>
    </w:p>
    <w:p w14:paraId="1656C5BC" w14:textId="77777777" w:rsidR="00604891" w:rsidRDefault="00604891" w:rsidP="00604891">
      <w:pPr>
        <w:contextualSpacing/>
        <w:rPr>
          <w:u w:val="single"/>
        </w:rPr>
      </w:pPr>
      <w:r w:rsidRPr="000A7F9F">
        <w:rPr>
          <w:u w:val="single"/>
        </w:rPr>
        <w:t>Discussion:</w:t>
      </w:r>
      <w:r>
        <w:rPr>
          <w:u w:val="single"/>
        </w:rPr>
        <w:t xml:space="preserve"> </w:t>
      </w:r>
    </w:p>
    <w:p w14:paraId="19EC8575" w14:textId="77777777" w:rsidR="00CA11E4" w:rsidRDefault="00CA11E4" w:rsidP="00604891">
      <w:pPr>
        <w:contextualSpacing/>
        <w:rPr>
          <w:u w:val="single"/>
        </w:rPr>
      </w:pPr>
    </w:p>
    <w:p w14:paraId="21C889E9" w14:textId="77777777" w:rsidR="00D42AA8" w:rsidRDefault="00604891" w:rsidP="003D2734">
      <w:pPr>
        <w:contextualSpacing/>
      </w:pPr>
      <w:r>
        <w:t xml:space="preserve">IOU Discussion: </w:t>
      </w:r>
    </w:p>
    <w:p w14:paraId="255F7029" w14:textId="77777777" w:rsidR="00EF7AB8" w:rsidRDefault="003D2734" w:rsidP="00264B9D">
      <w:pPr>
        <w:pStyle w:val="ListParagraph"/>
        <w:numPr>
          <w:ilvl w:val="0"/>
          <w:numId w:val="30"/>
        </w:numPr>
      </w:pPr>
      <w:r>
        <w:t xml:space="preserve">Currently, the </w:t>
      </w:r>
      <w:r w:rsidR="00030D75">
        <w:t>CPUC has provided the IOUs</w:t>
      </w:r>
      <w:r>
        <w:t xml:space="preserve"> discretion to choose a method to protect against potential tax liability and the IOUs have not selected the same option.  To align and provide a consistent approach across California, the IOUs can all support the </w:t>
      </w:r>
      <w:r>
        <w:lastRenderedPageBreak/>
        <w:t>collection of security.  The preference however is Proposal 1 where each IOU has the discretion to select whichever option is acceptable within each IOU’s risk tolerance levels.</w:t>
      </w:r>
    </w:p>
    <w:p w14:paraId="081D88F3" w14:textId="77777777" w:rsidR="007935DF" w:rsidRDefault="007935DF" w:rsidP="007935DF">
      <w:pPr>
        <w:pStyle w:val="Heading2"/>
        <w:numPr>
          <w:ilvl w:val="0"/>
          <w:numId w:val="0"/>
        </w:numPr>
        <w:spacing w:before="0" w:after="0"/>
        <w:rPr>
          <w:b/>
        </w:rPr>
      </w:pPr>
    </w:p>
    <w:p w14:paraId="595E976E" w14:textId="1381709E" w:rsidR="003E41FB" w:rsidRDefault="003E41FB" w:rsidP="007935DF">
      <w:pPr>
        <w:pStyle w:val="Heading2"/>
        <w:numPr>
          <w:ilvl w:val="0"/>
          <w:numId w:val="0"/>
        </w:numPr>
        <w:spacing w:before="0" w:after="0"/>
        <w:rPr>
          <w:b/>
        </w:rPr>
      </w:pPr>
      <w:r w:rsidRPr="00C40E9B">
        <w:rPr>
          <w:b/>
        </w:rPr>
        <w:t xml:space="preserve">Proposal </w:t>
      </w:r>
      <w:r w:rsidR="00604891">
        <w:rPr>
          <w:b/>
        </w:rPr>
        <w:t>3</w:t>
      </w:r>
      <w:r w:rsidR="000A7F9F" w:rsidRPr="00C40E9B">
        <w:rPr>
          <w:b/>
        </w:rPr>
        <w:t xml:space="preserve">: For “Safe Harbor” systems, the Commission should </w:t>
      </w:r>
      <w:r w:rsidR="001F3AB5">
        <w:rPr>
          <w:b/>
        </w:rPr>
        <w:t>modify D.</w:t>
      </w:r>
      <w:r w:rsidR="00944852">
        <w:rPr>
          <w:b/>
        </w:rPr>
        <w:t xml:space="preserve">94-06-038 to prohibit the collection of security and </w:t>
      </w:r>
      <w:r w:rsidR="000A7F9F" w:rsidRPr="00C40E9B">
        <w:rPr>
          <w:b/>
        </w:rPr>
        <w:t xml:space="preserve">authorize </w:t>
      </w:r>
      <w:commentRangeStart w:id="9"/>
      <w:r w:rsidR="00CA11E4">
        <w:rPr>
          <w:b/>
        </w:rPr>
        <w:t>a recovery mechanism, where</w:t>
      </w:r>
      <w:commentRangeEnd w:id="9"/>
      <w:r w:rsidR="00CA11E4">
        <w:rPr>
          <w:rStyle w:val="CommentReference"/>
          <w:rFonts w:asciiTheme="minorHAnsi" w:eastAsiaTheme="minorHAnsi" w:hAnsiTheme="minorHAnsi" w:cstheme="minorBidi"/>
          <w:bCs w:val="0"/>
          <w:i w:val="0"/>
          <w:color w:val="auto"/>
        </w:rPr>
        <w:commentReference w:id="9"/>
      </w:r>
      <w:r w:rsidR="00CA11E4">
        <w:rPr>
          <w:b/>
        </w:rPr>
        <w:t xml:space="preserve">by </w:t>
      </w:r>
      <w:r w:rsidR="000A7F9F" w:rsidRPr="00C40E9B">
        <w:rPr>
          <w:b/>
        </w:rPr>
        <w:t>each utility recover</w:t>
      </w:r>
      <w:r w:rsidR="00CA11E4">
        <w:rPr>
          <w:b/>
        </w:rPr>
        <w:t>s</w:t>
      </w:r>
      <w:r w:rsidR="000A7F9F" w:rsidRPr="00C40E9B">
        <w:rPr>
          <w:b/>
        </w:rPr>
        <w:t xml:space="preserve"> </w:t>
      </w:r>
      <w:r w:rsidR="001F3AB5">
        <w:rPr>
          <w:b/>
        </w:rPr>
        <w:t>from ratepayers</w:t>
      </w:r>
      <w:r w:rsidR="00CA11E4">
        <w:rPr>
          <w:b/>
        </w:rPr>
        <w:t xml:space="preserve"> </w:t>
      </w:r>
      <w:r w:rsidR="000A7F9F" w:rsidRPr="00C40E9B">
        <w:rPr>
          <w:b/>
        </w:rPr>
        <w:t xml:space="preserve">any actual costs realized as a result of ITCC charges </w:t>
      </w:r>
    </w:p>
    <w:p w14:paraId="7AE5E67C" w14:textId="77777777" w:rsidR="00013591" w:rsidRDefault="00013591" w:rsidP="009673A1">
      <w:pPr>
        <w:contextualSpacing/>
      </w:pPr>
    </w:p>
    <w:p w14:paraId="5646D67F" w14:textId="77777777" w:rsidR="00D30BB1" w:rsidRDefault="003E41FB" w:rsidP="009673A1">
      <w:pPr>
        <w:contextualSpacing/>
      </w:pPr>
      <w:r w:rsidRPr="003E41FB">
        <w:rPr>
          <w:u w:val="single"/>
        </w:rPr>
        <w:t>Summary:</w:t>
      </w:r>
      <w:r>
        <w:t xml:space="preserve"> </w:t>
      </w:r>
      <w:r w:rsidR="0036501E">
        <w:t xml:space="preserve"> </w:t>
      </w:r>
    </w:p>
    <w:p w14:paraId="6362F5C3" w14:textId="77777777" w:rsidR="00D30BB1" w:rsidRDefault="00D30BB1" w:rsidP="009673A1">
      <w:pPr>
        <w:contextualSpacing/>
        <w:rPr>
          <w:b/>
          <w:i/>
        </w:rPr>
      </w:pPr>
    </w:p>
    <w:p w14:paraId="37DC9A1C" w14:textId="115E5B94" w:rsidR="003268DC" w:rsidRPr="00D30BB1" w:rsidRDefault="00D30BB1" w:rsidP="009673A1">
      <w:pPr>
        <w:contextualSpacing/>
        <w:rPr>
          <w:i/>
        </w:rPr>
      </w:pPr>
      <w:r w:rsidRPr="00D30BB1">
        <w:rPr>
          <w:i/>
        </w:rPr>
        <w:t>Clean Coalition</w:t>
      </w:r>
      <w:r w:rsidR="00F50E9D">
        <w:rPr>
          <w:i/>
        </w:rPr>
        <w:t xml:space="preserve"> Version of</w:t>
      </w:r>
      <w:r w:rsidRPr="00D30BB1">
        <w:rPr>
          <w:i/>
        </w:rPr>
        <w:t xml:space="preserve"> Summary:</w:t>
      </w:r>
    </w:p>
    <w:p w14:paraId="326AAF58" w14:textId="77777777" w:rsidR="00D30BB1" w:rsidRDefault="00D30BB1" w:rsidP="00D30BB1">
      <w:pPr>
        <w:rPr>
          <w:rFonts w:ascii="Cambria" w:hAnsi="Cambria"/>
        </w:rPr>
      </w:pPr>
    </w:p>
    <w:p w14:paraId="5EABD86D" w14:textId="77777777" w:rsidR="003268DC" w:rsidRPr="00D30BB1" w:rsidRDefault="003268DC" w:rsidP="00F50E9D">
      <w:pPr>
        <w:ind w:left="720"/>
      </w:pPr>
      <w:r w:rsidRPr="00D30BB1">
        <w:t>As an alternative to the current authorized practice of requiring applicants to post ITCC security when seeking interconnection under “Safe Harbor” provisions, in the interest of ratepayers it is proposed that the Commission authorize each Investor Owned Utility (IOU) to recover through customer rates any actual costs realized as a result of ITCC charges incurred by the IOU against interconnections applying under “Safe Harbor” provisions and deemed uncollectable subsequent to “Safe Harbor” eligibility being found inapplicable, and to  establish this practice in lieu of requiring the posting of security by the applicant against such liability.</w:t>
      </w:r>
    </w:p>
    <w:p w14:paraId="019AAE8F" w14:textId="77777777" w:rsidR="003268DC" w:rsidRPr="00D30BB1" w:rsidRDefault="003268DC" w:rsidP="00F50E9D">
      <w:pPr>
        <w:ind w:left="720"/>
      </w:pPr>
    </w:p>
    <w:p w14:paraId="26275913" w14:textId="77777777" w:rsidR="003268DC" w:rsidRPr="00D30BB1" w:rsidRDefault="003268DC" w:rsidP="00F50E9D">
      <w:pPr>
        <w:ind w:left="720"/>
        <w:rPr>
          <w:rFonts w:cs="Calibri"/>
        </w:rPr>
      </w:pPr>
      <w:r w:rsidRPr="00D30BB1">
        <w:rPr>
          <w:rFonts w:cs="Calibri"/>
        </w:rPr>
        <w:t>It is proposed that:</w:t>
      </w:r>
    </w:p>
    <w:p w14:paraId="41D59218" w14:textId="77777777" w:rsidR="00D30BB1" w:rsidRPr="00D30BB1" w:rsidRDefault="00D30BB1" w:rsidP="00F50E9D">
      <w:pPr>
        <w:ind w:left="720"/>
        <w:rPr>
          <w:rFonts w:cs="Calibri"/>
        </w:rPr>
      </w:pPr>
    </w:p>
    <w:p w14:paraId="4E90FF6D" w14:textId="77777777" w:rsidR="003268DC" w:rsidRPr="00D30BB1" w:rsidRDefault="003268DC" w:rsidP="00F50E9D">
      <w:pPr>
        <w:pStyle w:val="ListParagraph"/>
        <w:widowControl w:val="0"/>
        <w:numPr>
          <w:ilvl w:val="0"/>
          <w:numId w:val="17"/>
        </w:numPr>
        <w:autoSpaceDE w:val="0"/>
        <w:autoSpaceDN w:val="0"/>
        <w:ind w:left="1440"/>
        <w:contextualSpacing w:val="0"/>
        <w:rPr>
          <w:rFonts w:cs="Calibri"/>
        </w:rPr>
      </w:pPr>
      <w:r w:rsidRPr="00D30BB1">
        <w:rPr>
          <w:rFonts w:cs="Calibri"/>
        </w:rPr>
        <w:t>The Commission authorize each Investor Owned Utilities (IOUs) to recover through customer rates any actual costs realized as a result of ITCC charges incurred by the IOU against interconnections applying under “Safe Harbor” provisions.</w:t>
      </w:r>
    </w:p>
    <w:p w14:paraId="2BA3CF8E" w14:textId="77777777" w:rsidR="003268DC" w:rsidRPr="00D30BB1" w:rsidRDefault="003268DC" w:rsidP="00F50E9D">
      <w:pPr>
        <w:pStyle w:val="ListParagraph"/>
        <w:widowControl w:val="0"/>
        <w:numPr>
          <w:ilvl w:val="1"/>
          <w:numId w:val="17"/>
        </w:numPr>
        <w:autoSpaceDE w:val="0"/>
        <w:autoSpaceDN w:val="0"/>
        <w:ind w:left="2160"/>
        <w:contextualSpacing w:val="0"/>
        <w:rPr>
          <w:rFonts w:cs="Calibri"/>
        </w:rPr>
      </w:pPr>
      <w:r w:rsidRPr="00D30BB1">
        <w:rPr>
          <w:rFonts w:cs="Calibri"/>
        </w:rPr>
        <w:t>Recovery through customer rates shall only occur when both:</w:t>
      </w:r>
    </w:p>
    <w:p w14:paraId="465E3960" w14:textId="6E198CC7" w:rsidR="003268DC" w:rsidRPr="00D30BB1" w:rsidRDefault="003268DC" w:rsidP="00F50E9D">
      <w:pPr>
        <w:pStyle w:val="ListParagraph"/>
        <w:widowControl w:val="0"/>
        <w:numPr>
          <w:ilvl w:val="2"/>
          <w:numId w:val="17"/>
        </w:numPr>
        <w:autoSpaceDE w:val="0"/>
        <w:autoSpaceDN w:val="0"/>
        <w:ind w:left="2880"/>
        <w:contextualSpacing w:val="0"/>
        <w:rPr>
          <w:rFonts w:cs="Calibri"/>
        </w:rPr>
      </w:pPr>
      <w:r w:rsidRPr="00D30BB1">
        <w:rPr>
          <w:rFonts w:cs="Calibri"/>
        </w:rPr>
        <w:t>“Safe Harbor” eligibility is ruled inapplicable by the tax authority,</w:t>
      </w:r>
      <w:r w:rsidR="00CF3F98">
        <w:rPr>
          <w:rFonts w:cs="Calibri"/>
        </w:rPr>
        <w:t xml:space="preserve"> and</w:t>
      </w:r>
    </w:p>
    <w:p w14:paraId="27CBF9F5" w14:textId="5758FBED" w:rsidR="003268DC" w:rsidRPr="00D30BB1" w:rsidRDefault="00CF3F98" w:rsidP="00F50E9D">
      <w:pPr>
        <w:pStyle w:val="ListParagraph"/>
        <w:widowControl w:val="0"/>
        <w:numPr>
          <w:ilvl w:val="2"/>
          <w:numId w:val="17"/>
        </w:numPr>
        <w:autoSpaceDE w:val="0"/>
        <w:autoSpaceDN w:val="0"/>
        <w:ind w:left="2880"/>
        <w:contextualSpacing w:val="0"/>
        <w:rPr>
          <w:rFonts w:cs="Calibri"/>
        </w:rPr>
      </w:pPr>
      <w:r>
        <w:rPr>
          <w:rFonts w:cs="Calibri"/>
        </w:rPr>
        <w:t>S</w:t>
      </w:r>
      <w:r w:rsidR="003268DC" w:rsidRPr="00D30BB1">
        <w:rPr>
          <w:rFonts w:cs="Calibri"/>
        </w:rPr>
        <w:t>uch costs are found to be uncollectable by the IOU from the responsible party.</w:t>
      </w:r>
    </w:p>
    <w:p w14:paraId="5740FCED" w14:textId="77777777" w:rsidR="003268DC" w:rsidRPr="00D30BB1" w:rsidRDefault="003268DC" w:rsidP="00F50E9D">
      <w:pPr>
        <w:pStyle w:val="ListParagraph"/>
        <w:widowControl w:val="0"/>
        <w:numPr>
          <w:ilvl w:val="0"/>
          <w:numId w:val="17"/>
        </w:numPr>
        <w:autoSpaceDE w:val="0"/>
        <w:autoSpaceDN w:val="0"/>
        <w:ind w:left="1440"/>
        <w:contextualSpacing w:val="0"/>
        <w:rPr>
          <w:rFonts w:cs="Calibri"/>
        </w:rPr>
      </w:pPr>
      <w:r w:rsidRPr="00D30BB1">
        <w:rPr>
          <w:rFonts w:cs="Calibri"/>
        </w:rPr>
        <w:t>The Commission shall establish this practice in lieu of requiring the posting of security by the applicant against such liability.</w:t>
      </w:r>
    </w:p>
    <w:p w14:paraId="7333F087" w14:textId="77777777" w:rsidR="003268DC" w:rsidRPr="00D30BB1" w:rsidRDefault="003268DC" w:rsidP="00F50E9D">
      <w:pPr>
        <w:pStyle w:val="ListParagraph"/>
        <w:widowControl w:val="0"/>
        <w:numPr>
          <w:ilvl w:val="0"/>
          <w:numId w:val="17"/>
        </w:numPr>
        <w:autoSpaceDE w:val="0"/>
        <w:autoSpaceDN w:val="0"/>
        <w:ind w:left="1440"/>
        <w:contextualSpacing w:val="0"/>
        <w:rPr>
          <w:rFonts w:cs="Calibri"/>
        </w:rPr>
      </w:pPr>
      <w:r w:rsidRPr="00D30BB1">
        <w:rPr>
          <w:rFonts w:cs="Calibri"/>
        </w:rPr>
        <w:t xml:space="preserve">The Energy Division may require posting of security, or limit ratepayer liability and authorize IOUs to require posting of security, for new projects if the Director of the Energy Division determines such actions to be in ratepayer interest.  </w:t>
      </w:r>
    </w:p>
    <w:p w14:paraId="2A9F627B" w14:textId="77777777" w:rsidR="003268DC" w:rsidRPr="00D30BB1" w:rsidRDefault="003268DC" w:rsidP="00F50E9D">
      <w:pPr>
        <w:pStyle w:val="ListParagraph"/>
        <w:widowControl w:val="0"/>
        <w:numPr>
          <w:ilvl w:val="1"/>
          <w:numId w:val="17"/>
        </w:numPr>
        <w:autoSpaceDE w:val="0"/>
        <w:autoSpaceDN w:val="0"/>
        <w:ind w:left="2160"/>
        <w:contextualSpacing w:val="0"/>
        <w:rPr>
          <w:rFonts w:cs="Calibri"/>
        </w:rPr>
      </w:pPr>
      <w:r w:rsidRPr="00D30BB1">
        <w:rPr>
          <w:rFonts w:cs="Calibri"/>
        </w:rPr>
        <w:t>The Director may take this action upon its own initiative or as an interim response pending a ruling on a Petition for Modification.</w:t>
      </w:r>
    </w:p>
    <w:p w14:paraId="3F91D0D7" w14:textId="77777777" w:rsidR="003268DC" w:rsidRPr="00D30BB1" w:rsidRDefault="003268DC" w:rsidP="00F50E9D">
      <w:pPr>
        <w:pStyle w:val="ListParagraph"/>
        <w:widowControl w:val="0"/>
        <w:numPr>
          <w:ilvl w:val="1"/>
          <w:numId w:val="17"/>
        </w:numPr>
        <w:autoSpaceDE w:val="0"/>
        <w:autoSpaceDN w:val="0"/>
        <w:ind w:left="2160"/>
        <w:contextualSpacing w:val="0"/>
        <w:rPr>
          <w:rFonts w:cs="Calibri"/>
        </w:rPr>
      </w:pPr>
      <w:r w:rsidRPr="00D30BB1">
        <w:rPr>
          <w:rFonts w:cs="Calibri"/>
        </w:rPr>
        <w:t>Energy Division may establish automatic review of these practices, and/or automatic requirement for new projects to post security in the event that ratepayer backstop results in realized costs greater than $x [$500,000? -- equal to 20% of current security postings]</w:t>
      </w:r>
    </w:p>
    <w:p w14:paraId="19467B3F" w14:textId="77777777" w:rsidR="003268DC" w:rsidRDefault="003268DC" w:rsidP="009673A1">
      <w:pPr>
        <w:contextualSpacing/>
      </w:pPr>
    </w:p>
    <w:p w14:paraId="3FF2D71C" w14:textId="6BEBF496" w:rsidR="003268DC" w:rsidRPr="00D30BB1" w:rsidRDefault="00D30BB1" w:rsidP="009673A1">
      <w:pPr>
        <w:contextualSpacing/>
        <w:rPr>
          <w:i/>
        </w:rPr>
      </w:pPr>
      <w:r w:rsidRPr="00D30BB1">
        <w:rPr>
          <w:i/>
        </w:rPr>
        <w:lastRenderedPageBreak/>
        <w:t xml:space="preserve">IOU </w:t>
      </w:r>
      <w:r w:rsidR="00F50E9D">
        <w:rPr>
          <w:i/>
        </w:rPr>
        <w:t xml:space="preserve">Version of </w:t>
      </w:r>
      <w:r w:rsidRPr="00D30BB1">
        <w:rPr>
          <w:i/>
        </w:rPr>
        <w:t>Summary:</w:t>
      </w:r>
    </w:p>
    <w:p w14:paraId="07584EEE" w14:textId="77777777" w:rsidR="00D30BB1" w:rsidRPr="00D30BB1" w:rsidRDefault="00D30BB1" w:rsidP="009673A1">
      <w:pPr>
        <w:contextualSpacing/>
      </w:pPr>
    </w:p>
    <w:p w14:paraId="60C81636" w14:textId="623321FD" w:rsidR="003B181D" w:rsidRDefault="0036501E" w:rsidP="00F50E9D">
      <w:pPr>
        <w:ind w:left="720"/>
        <w:contextualSpacing/>
      </w:pPr>
      <w:r>
        <w:t xml:space="preserve">Collection of security would be prohibited.  </w:t>
      </w:r>
      <w:r w:rsidR="0080180E">
        <w:t>Should the Interconnection Customer's project fail the IRS Notice 2016-36</w:t>
      </w:r>
      <w:r w:rsidR="0031601B">
        <w:t xml:space="preserve"> safe harbor requirements</w:t>
      </w:r>
      <w:r w:rsidR="00FA01D5">
        <w:t xml:space="preserve"> thereby </w:t>
      </w:r>
      <w:r w:rsidR="0031601B">
        <w:t>trigger</w:t>
      </w:r>
      <w:r w:rsidR="00FA01D5">
        <w:t xml:space="preserve">ing </w:t>
      </w:r>
      <w:r w:rsidR="0031601B">
        <w:t xml:space="preserve">a tax liability that is </w:t>
      </w:r>
      <w:r w:rsidR="003649CD">
        <w:t>incurred</w:t>
      </w:r>
      <w:r w:rsidR="0031601B">
        <w:t xml:space="preserve"> by the IOU and </w:t>
      </w:r>
      <w:r w:rsidR="00FA01D5">
        <w:t xml:space="preserve">the Interconnection Customer (contributor) is unable to remit payment for the tax liability, </w:t>
      </w:r>
      <w:r w:rsidR="0031601B">
        <w:t xml:space="preserve">the IOU would be exposed to a loss.  </w:t>
      </w:r>
      <w:r w:rsidR="00FA01D5">
        <w:t>Therefore,</w:t>
      </w:r>
      <w:r w:rsidR="0031601B">
        <w:t xml:space="preserve"> permitting the IOU to establish a security requirement that covers the </w:t>
      </w:r>
      <w:r w:rsidR="00FA01D5">
        <w:t xml:space="preserve">potential </w:t>
      </w:r>
      <w:r w:rsidR="0031601B">
        <w:t xml:space="preserve">cost consequence of any current tax liability is appropriate.  </w:t>
      </w:r>
    </w:p>
    <w:p w14:paraId="7708F67F" w14:textId="77777777" w:rsidR="003B181D" w:rsidRDefault="003B181D" w:rsidP="00F50E9D">
      <w:pPr>
        <w:ind w:left="720"/>
        <w:contextualSpacing/>
      </w:pPr>
    </w:p>
    <w:p w14:paraId="2DE56105" w14:textId="77777777" w:rsidR="0036501E" w:rsidRDefault="003B181D" w:rsidP="00F50E9D">
      <w:pPr>
        <w:ind w:left="720"/>
        <w:contextualSpacing/>
      </w:pPr>
      <w:r>
        <w:t>This proposal is for the Commission to</w:t>
      </w:r>
      <w:r w:rsidR="0036501E">
        <w:t>:</w:t>
      </w:r>
    </w:p>
    <w:p w14:paraId="53C7D275" w14:textId="77777777" w:rsidR="003B181D" w:rsidRDefault="003B181D" w:rsidP="00F50E9D">
      <w:pPr>
        <w:ind w:left="720"/>
        <w:contextualSpacing/>
      </w:pPr>
      <w:r>
        <w:t xml:space="preserve"> </w:t>
      </w:r>
    </w:p>
    <w:p w14:paraId="33E1C3F2" w14:textId="38E9F4C0" w:rsidR="00EF7AB8" w:rsidRDefault="00CF3F98" w:rsidP="00F50E9D">
      <w:pPr>
        <w:pStyle w:val="ListParagraph"/>
        <w:numPr>
          <w:ilvl w:val="0"/>
          <w:numId w:val="24"/>
        </w:numPr>
        <w:ind w:left="1440"/>
      </w:pPr>
      <w:r>
        <w:t>M</w:t>
      </w:r>
      <w:r w:rsidR="003B181D">
        <w:t xml:space="preserve">odify its prior decision D94-06-038 that authorizes three options for the IOU to select to protect against potential tax liability to not allowing the collection of security </w:t>
      </w:r>
    </w:p>
    <w:p w14:paraId="7726F4E6" w14:textId="4678FF64" w:rsidR="00EF7AB8" w:rsidRDefault="00CF3F98" w:rsidP="00F50E9D">
      <w:pPr>
        <w:pStyle w:val="ListParagraph"/>
        <w:numPr>
          <w:ilvl w:val="0"/>
          <w:numId w:val="24"/>
        </w:numPr>
        <w:ind w:left="1440"/>
      </w:pPr>
      <w:r>
        <w:t>E</w:t>
      </w:r>
      <w:r w:rsidR="003B181D">
        <w:t>stablish a recovery mechanism to re</w:t>
      </w:r>
      <w:r>
        <w:t>cover prudently incurred costs</w:t>
      </w:r>
    </w:p>
    <w:p w14:paraId="2C8E2187" w14:textId="77777777" w:rsidR="003B181D" w:rsidRDefault="003B181D" w:rsidP="00F50E9D">
      <w:pPr>
        <w:ind w:left="720"/>
        <w:contextualSpacing/>
      </w:pPr>
    </w:p>
    <w:p w14:paraId="63A90930" w14:textId="77777777" w:rsidR="0096296D" w:rsidRDefault="003B181D" w:rsidP="00F50E9D">
      <w:pPr>
        <w:ind w:left="720"/>
        <w:contextualSpacing/>
      </w:pPr>
      <w:r>
        <w:t xml:space="preserve">Under this proposal, IOUs would not collect a security from </w:t>
      </w:r>
      <w:r w:rsidR="000A033E">
        <w:t xml:space="preserve">eligible </w:t>
      </w:r>
      <w:r>
        <w:t xml:space="preserve">contributors.  If the interconnection fails the IRS Notice 2016-36 safe harbor requirements, a taxable event is triggered whereby the </w:t>
      </w:r>
      <w:r w:rsidR="0096296D">
        <w:t>contributor</w:t>
      </w:r>
      <w:r>
        <w:t xml:space="preserve"> is required to remit payment to the IOU for taxes incurred.  In the event the </w:t>
      </w:r>
      <w:r w:rsidR="0096296D">
        <w:t>contributor is unable to remit payment, the IOUs would recover its actual costs incurred through customer rates.  Utilization of the recovery mechanism and recovery through customer rates shall only occur when both:</w:t>
      </w:r>
    </w:p>
    <w:p w14:paraId="540B325F" w14:textId="77777777" w:rsidR="00D30BB1" w:rsidRDefault="00D30BB1" w:rsidP="00F50E9D">
      <w:pPr>
        <w:ind w:left="720"/>
        <w:contextualSpacing/>
      </w:pPr>
    </w:p>
    <w:p w14:paraId="66D26BC6" w14:textId="77777777" w:rsidR="00EF7AB8" w:rsidRDefault="0096296D" w:rsidP="00F50E9D">
      <w:pPr>
        <w:numPr>
          <w:ilvl w:val="0"/>
          <w:numId w:val="34"/>
        </w:numPr>
        <w:ind w:left="1440"/>
        <w:contextualSpacing/>
      </w:pPr>
      <w:r w:rsidRPr="009673A1">
        <w:t xml:space="preserve">“Safe Harbor” eligibility is </w:t>
      </w:r>
      <w:r>
        <w:t>found inapplicable either by the IOU or tax authority</w:t>
      </w:r>
      <w:r w:rsidRPr="009673A1">
        <w:t>,</w:t>
      </w:r>
      <w:r>
        <w:t xml:space="preserve"> and</w:t>
      </w:r>
    </w:p>
    <w:p w14:paraId="317D7601" w14:textId="77777777" w:rsidR="0096296D" w:rsidRDefault="0096296D" w:rsidP="00F50E9D">
      <w:pPr>
        <w:numPr>
          <w:ilvl w:val="0"/>
          <w:numId w:val="34"/>
        </w:numPr>
        <w:ind w:left="1440"/>
        <w:contextualSpacing/>
      </w:pPr>
      <w:r>
        <w:t>S</w:t>
      </w:r>
      <w:r w:rsidRPr="009673A1">
        <w:t>uch costs are found to be uncollectable by the IOU from the responsible party.</w:t>
      </w:r>
    </w:p>
    <w:p w14:paraId="3524CD7F" w14:textId="77777777" w:rsidR="00EF7AB8" w:rsidRDefault="0096296D" w:rsidP="00F50E9D">
      <w:pPr>
        <w:numPr>
          <w:ilvl w:val="1"/>
          <w:numId w:val="34"/>
        </w:numPr>
        <w:ind w:left="2160"/>
        <w:contextualSpacing/>
      </w:pPr>
      <w:r w:rsidRPr="009673A1">
        <w:t xml:space="preserve">The Energy Division </w:t>
      </w:r>
      <w:r>
        <w:t xml:space="preserve">should be given responsibility to monitor the cost recovery mechanism.  If an IOU’s cost recovery mechanism exceeds [XX] costs, the </w:t>
      </w:r>
      <w:commentRangeStart w:id="10"/>
      <w:r>
        <w:t>prohibition</w:t>
      </w:r>
      <w:commentRangeEnd w:id="10"/>
      <w:r>
        <w:rPr>
          <w:rStyle w:val="CommentReference"/>
        </w:rPr>
        <w:commentReference w:id="10"/>
      </w:r>
      <w:r>
        <w:t xml:space="preserve"> on security collection is automatically ended and the IOU may collect security on a going forward basis. </w:t>
      </w:r>
    </w:p>
    <w:p w14:paraId="76F4A441" w14:textId="77777777" w:rsidR="009673A1" w:rsidRPr="009673A1" w:rsidRDefault="009673A1" w:rsidP="00715F24">
      <w:pPr>
        <w:contextualSpacing/>
      </w:pPr>
    </w:p>
    <w:p w14:paraId="63634F77" w14:textId="32A7F137" w:rsidR="00EF7AB8" w:rsidRDefault="003E41FB" w:rsidP="00D30BB1">
      <w:pPr>
        <w:contextualSpacing/>
      </w:pPr>
      <w:r w:rsidRPr="003E41FB">
        <w:rPr>
          <w:u w:val="single"/>
        </w:rPr>
        <w:t>Status</w:t>
      </w:r>
      <w:r>
        <w:t>: [</w:t>
      </w:r>
      <w:r w:rsidRPr="003E41FB">
        <w:rPr>
          <w:highlight w:val="yellow"/>
        </w:rPr>
        <w:t>Non-Consensus</w:t>
      </w:r>
      <w:r>
        <w:t>]</w:t>
      </w:r>
      <w:r w:rsidR="00D30BB1">
        <w:t xml:space="preserve"> SCE, PG&amp;E and SDG&amp;E oppose.</w:t>
      </w:r>
    </w:p>
    <w:p w14:paraId="73EC7A0B" w14:textId="77777777" w:rsidR="009673A1" w:rsidRPr="009673A1" w:rsidRDefault="009673A1" w:rsidP="009673A1">
      <w:pPr>
        <w:contextualSpacing/>
      </w:pPr>
    </w:p>
    <w:p w14:paraId="5212F4D3" w14:textId="77777777" w:rsidR="004870FE" w:rsidRDefault="003E41FB" w:rsidP="009673A1">
      <w:pPr>
        <w:contextualSpacing/>
      </w:pPr>
      <w:r w:rsidRPr="003E41FB">
        <w:rPr>
          <w:u w:val="single"/>
        </w:rPr>
        <w:t>Discussion</w:t>
      </w:r>
      <w:r w:rsidRPr="003E41FB">
        <w:t xml:space="preserve">: </w:t>
      </w:r>
    </w:p>
    <w:p w14:paraId="3C47342B" w14:textId="77777777" w:rsidR="004870FE" w:rsidRDefault="004870FE" w:rsidP="009673A1">
      <w:pPr>
        <w:contextualSpacing/>
      </w:pPr>
    </w:p>
    <w:p w14:paraId="12A93695" w14:textId="77777777" w:rsidR="0036501E" w:rsidRDefault="0036501E" w:rsidP="009673A1">
      <w:pPr>
        <w:contextualSpacing/>
        <w:rPr>
          <w:bCs/>
        </w:rPr>
      </w:pPr>
      <w:r>
        <w:rPr>
          <w:bCs/>
        </w:rPr>
        <w:t xml:space="preserve">Clean Coalition Discussion: </w:t>
      </w:r>
    </w:p>
    <w:p w14:paraId="6AD2A328" w14:textId="77777777" w:rsidR="004C5F67" w:rsidRDefault="004C5F67" w:rsidP="009673A1">
      <w:pPr>
        <w:contextualSpacing/>
        <w:rPr>
          <w:bCs/>
        </w:rPr>
      </w:pPr>
    </w:p>
    <w:p w14:paraId="07E03A24" w14:textId="2FB78B8F" w:rsidR="00EF7AB8" w:rsidRDefault="009673A1" w:rsidP="00264B9D">
      <w:pPr>
        <w:pStyle w:val="ListParagraph"/>
        <w:numPr>
          <w:ilvl w:val="0"/>
          <w:numId w:val="28"/>
        </w:numPr>
      </w:pPr>
      <w:r w:rsidRPr="0036501E">
        <w:rPr>
          <w:bCs/>
        </w:rPr>
        <w:t>The</w:t>
      </w:r>
      <w:r w:rsidR="004870FE" w:rsidRPr="0036501E">
        <w:rPr>
          <w:bCs/>
        </w:rPr>
        <w:t xml:space="preserve"> non-IOU</w:t>
      </w:r>
      <w:r w:rsidRPr="0036501E">
        <w:rPr>
          <w:bCs/>
        </w:rPr>
        <w:t xml:space="preserve"> Working Group expects that there will continue to be projects that request Safe Harbor. </w:t>
      </w:r>
      <w:r w:rsidRPr="009673A1">
        <w:t xml:space="preserve">Interconnections qualifying under “Safe Harbor” </w:t>
      </w:r>
      <w:r w:rsidR="004870FE">
        <w:t>have historically not</w:t>
      </w:r>
      <w:r w:rsidRPr="009673A1">
        <w:t xml:space="preserve"> create</w:t>
      </w:r>
      <w:r w:rsidR="004870FE">
        <w:t>d an</w:t>
      </w:r>
      <w:r w:rsidRPr="009673A1">
        <w:t xml:space="preserve"> ITCC liability for an IOU; however, there is a degree of uncertainty regarding both whether the tax authority will agree that a project does qualify, and whether a project will maintain its qualification over time. </w:t>
      </w:r>
    </w:p>
    <w:p w14:paraId="7AB79D77" w14:textId="2F71A7EB" w:rsidR="00EF7AB8" w:rsidRDefault="009673A1" w:rsidP="00264B9D">
      <w:pPr>
        <w:pStyle w:val="ListParagraph"/>
        <w:numPr>
          <w:ilvl w:val="0"/>
          <w:numId w:val="28"/>
        </w:numPr>
      </w:pPr>
      <w:r w:rsidRPr="009673A1">
        <w:t xml:space="preserve">The interconnection agreement stipulates that the </w:t>
      </w:r>
      <w:r w:rsidR="004870FE">
        <w:t>contributor</w:t>
      </w:r>
      <w:r w:rsidR="004870FE" w:rsidRPr="009673A1">
        <w:t xml:space="preserve"> </w:t>
      </w:r>
      <w:r w:rsidRPr="009673A1">
        <w:t>is liable for any ITCC costs incurred by the IOU; however, the possibility exists that the</w:t>
      </w:r>
      <w:r w:rsidR="004870FE">
        <w:t xml:space="preserve"> contributor is unable </w:t>
      </w:r>
      <w:r w:rsidR="004870FE">
        <w:lastRenderedPageBreak/>
        <w:t>to remit payment to the IOU for ITCC costs incurred</w:t>
      </w:r>
      <w:r w:rsidRPr="009673A1">
        <w:t>. To insure against non-collection in the event that an IOU is subject to ITCC for a project that was interconnected with a Safe Harbor qualification claim, the IOU is authorized to require a security to be posted by the applicant in a form consistent with D.94-06-038.</w:t>
      </w:r>
    </w:p>
    <w:p w14:paraId="76CA4F69" w14:textId="3643BA56" w:rsidR="00EF7AB8" w:rsidRDefault="009673A1" w:rsidP="00264B9D">
      <w:pPr>
        <w:pStyle w:val="ListParagraph"/>
        <w:numPr>
          <w:ilvl w:val="0"/>
          <w:numId w:val="28"/>
        </w:numPr>
      </w:pPr>
      <w:r w:rsidRPr="009673A1">
        <w:t xml:space="preserve">The posting of security creates a cost to the applicant, tying up cash or credit for a period of ten years. These costs increase the producer’s </w:t>
      </w:r>
      <w:proofErr w:type="spellStart"/>
      <w:r w:rsidRPr="009673A1">
        <w:t>Levelized</w:t>
      </w:r>
      <w:proofErr w:type="spellEnd"/>
      <w:r w:rsidRPr="009673A1">
        <w:t xml:space="preserve"> Cost of Energy</w:t>
      </w:r>
      <w:r w:rsidR="003905F4">
        <w:t xml:space="preserve"> (LCOE)</w:t>
      </w:r>
      <w:r w:rsidRPr="009673A1">
        <w:t xml:space="preserve"> from these facilities, and the price these facilities must receive from ratepayers in market mechanisms to remain financially viable. </w:t>
      </w:r>
    </w:p>
    <w:p w14:paraId="3610B57B" w14:textId="5F505885" w:rsidR="00EF7AB8" w:rsidRDefault="009673A1" w:rsidP="00264B9D">
      <w:pPr>
        <w:pStyle w:val="ListParagraph"/>
        <w:numPr>
          <w:ilvl w:val="0"/>
          <w:numId w:val="28"/>
        </w:numPr>
      </w:pPr>
      <w:r w:rsidRPr="009673A1">
        <w:t>It is in ratepayer interest to reduce the cost of energy supplies, as well as the cost of any ratepayer risks associated with energy supplies. If the ratepayer value of cost reduction in energy prices from these facilities is greater than the value of ratepayer assumed risk that is associated with not requiring ITCC security to be posted, then ratepayers will a realize net benefit from backstopping IOU ITCC liability risk of non-collection.</w:t>
      </w:r>
    </w:p>
    <w:p w14:paraId="3560BAFB" w14:textId="26984396" w:rsidR="00EF7AB8" w:rsidRDefault="009673A1" w:rsidP="00264B9D">
      <w:pPr>
        <w:pStyle w:val="ListParagraph"/>
        <w:numPr>
          <w:ilvl w:val="0"/>
          <w:numId w:val="28"/>
        </w:numPr>
      </w:pPr>
      <w:r w:rsidRPr="009673A1">
        <w:t>A review of IOU experience with Safe Harbor interconnections has not identified any instances to date of disqualification</w:t>
      </w:r>
      <w:r w:rsidR="00C37E63">
        <w:t>s</w:t>
      </w:r>
      <w:r w:rsidRPr="009673A1">
        <w:t xml:space="preserve"> resulting in ITCC costs being incurred</w:t>
      </w:r>
      <w:r w:rsidR="007B05D5">
        <w:t xml:space="preserve"> as a result of a tax audit</w:t>
      </w:r>
      <w:r w:rsidR="00840966">
        <w:t>;</w:t>
      </w:r>
      <w:r w:rsidRPr="009673A1">
        <w:t xml:space="preserve"> however it is not possible to predict the likelihood of this changing in the future.</w:t>
      </w:r>
      <w:r w:rsidR="00C37E63">
        <w:t xml:space="preserve"> </w:t>
      </w:r>
      <w:r w:rsidRPr="009673A1">
        <w:t xml:space="preserve"> In addition, IOUs have substantial enforcement options to support collection, including the right to disconnect a generation facility for delinquency under the applicable interconnection agreements.</w:t>
      </w:r>
    </w:p>
    <w:p w14:paraId="106B32B6" w14:textId="71500F22" w:rsidR="00EF7AB8" w:rsidRPr="00D30BB1" w:rsidRDefault="00D42AA8" w:rsidP="00D30BB1">
      <w:pPr>
        <w:pStyle w:val="ListParagraph"/>
        <w:numPr>
          <w:ilvl w:val="0"/>
          <w:numId w:val="28"/>
        </w:numPr>
        <w:rPr>
          <w:rFonts w:ascii="Calibri" w:hAnsi="Calibri" w:cs="Calibri"/>
          <w:i/>
        </w:rPr>
      </w:pPr>
      <w:r>
        <w:rPr>
          <w:rFonts w:ascii="Calibri" w:hAnsi="Calibri" w:cs="Calibri"/>
          <w:i/>
        </w:rPr>
        <w:t>Estimated energy price impact for applicable interconnection is 1%</w:t>
      </w:r>
      <w:r w:rsidR="00D30BB1">
        <w:rPr>
          <w:rFonts w:ascii="Calibri" w:hAnsi="Calibri" w:cs="Calibri"/>
          <w:i/>
        </w:rPr>
        <w:t xml:space="preserve">. </w:t>
      </w:r>
      <w:r w:rsidRPr="004B4FAB">
        <w:t xml:space="preserve">Prior data requests have indicated average </w:t>
      </w:r>
      <w:commentRangeStart w:id="11"/>
      <w:r w:rsidRPr="004B4FAB">
        <w:t>interconnection</w:t>
      </w:r>
      <w:commentRangeEnd w:id="11"/>
      <w:r>
        <w:rPr>
          <w:rStyle w:val="CommentReference"/>
        </w:rPr>
        <w:commentReference w:id="11"/>
      </w:r>
      <w:r w:rsidRPr="004B4FAB">
        <w:t xml:space="preserve"> upgrade costs of $150,000 per MW, resulting in an ITC</w:t>
      </w:r>
      <w:r>
        <w:t xml:space="preserve">C potential of $36,000 per MW (The current ITCC rate is 24%). </w:t>
      </w:r>
      <w:r w:rsidRPr="00D30BB1">
        <w:rPr>
          <w:rFonts w:ascii="Calibri" w:hAnsi="Calibri" w:cs="Calibri"/>
        </w:rPr>
        <w:t xml:space="preserve">Assuming that 10% of generator LCOE costs for Safe Harbor projects are related to interconnection upgrades, with an ITCC potential liability of 20% of the value of the upgrades, security posting will equal 2% to the project cost. </w:t>
      </w:r>
      <w:r w:rsidR="00F00F7E" w:rsidRPr="00D30BB1">
        <w:rPr>
          <w:rFonts w:ascii="Calibri" w:hAnsi="Calibri" w:cs="Calibri"/>
        </w:rPr>
        <w:t>C</w:t>
      </w:r>
      <w:r w:rsidRPr="00D30BB1">
        <w:rPr>
          <w:rFonts w:ascii="Calibri" w:hAnsi="Calibri" w:cs="Calibri"/>
        </w:rPr>
        <w:t>ash posting at the developer’s election will be fully refunded after 10 years</w:t>
      </w:r>
      <w:r w:rsidR="007B05D5" w:rsidRPr="00D30BB1">
        <w:rPr>
          <w:rFonts w:ascii="Calibri" w:hAnsi="Calibri" w:cs="Calibri"/>
        </w:rPr>
        <w:t xml:space="preserve"> with interest</w:t>
      </w:r>
      <w:r w:rsidRPr="00D30BB1">
        <w:rPr>
          <w:rFonts w:ascii="Calibri" w:hAnsi="Calibri" w:cs="Calibri"/>
        </w:rPr>
        <w:t xml:space="preserve"> in accordance with SCE’s tax security practices, but the net present value of the refund over that period will be less than current business value. Alternative use of credit or collateralized security will incur carrying costs over the same period. Thus, the estimated energy price impact for applicable </w:t>
      </w:r>
      <w:commentRangeStart w:id="12"/>
      <w:r w:rsidRPr="00D30BB1">
        <w:rPr>
          <w:rFonts w:ascii="Calibri" w:hAnsi="Calibri" w:cs="Calibri"/>
        </w:rPr>
        <w:t>interconnections</w:t>
      </w:r>
      <w:commentRangeEnd w:id="12"/>
      <w:r>
        <w:rPr>
          <w:rStyle w:val="CommentReference"/>
        </w:rPr>
        <w:commentReference w:id="12"/>
      </w:r>
      <w:r w:rsidRPr="00D30BB1">
        <w:rPr>
          <w:rFonts w:ascii="Calibri" w:hAnsi="Calibri" w:cs="Calibri"/>
        </w:rPr>
        <w:t xml:space="preserve"> is around 1%. The net impact will vary depending on the actual time value of money as reflected in interest rates and (foregone) return on investment. </w:t>
      </w:r>
    </w:p>
    <w:p w14:paraId="7B85290F" w14:textId="77777777" w:rsidR="00EF7AB8" w:rsidRDefault="00EF7AB8" w:rsidP="00264B9D">
      <w:pPr>
        <w:pStyle w:val="ListParagraph"/>
        <w:ind w:left="1440"/>
        <w:rPr>
          <w:rFonts w:ascii="Calibri" w:hAnsi="Calibri" w:cs="Calibri"/>
          <w:i/>
        </w:rPr>
      </w:pPr>
    </w:p>
    <w:p w14:paraId="1520E950" w14:textId="5C5278CA" w:rsidR="00EF7AB8" w:rsidRDefault="00D42AA8" w:rsidP="00264B9D">
      <w:r>
        <w:t>IOU Discussion</w:t>
      </w:r>
      <w:r w:rsidR="00C27619">
        <w:t>:</w:t>
      </w:r>
    </w:p>
    <w:p w14:paraId="2DCA2EEB" w14:textId="77777777" w:rsidR="004C5F67" w:rsidRDefault="004C5F67" w:rsidP="00264B9D"/>
    <w:p w14:paraId="2AA36C3E" w14:textId="210B64C3" w:rsidR="00D42AA8" w:rsidRDefault="00D42AA8">
      <w:pPr>
        <w:pStyle w:val="ListParagraph"/>
        <w:numPr>
          <w:ilvl w:val="0"/>
          <w:numId w:val="29"/>
        </w:numPr>
      </w:pPr>
      <w:r>
        <w:t xml:space="preserve">The IOUs object to modification of D94-06-038.  The IOUs consider it best practice for each IOU to assess its own risk tolerance levels and choose a method that best protects against potential tax liabilities.  The IOUs object to not </w:t>
      </w:r>
      <w:r w:rsidR="007B05D5">
        <w:t>having</w:t>
      </w:r>
      <w:r>
        <w:t xml:space="preserve"> the ability to collect security.</w:t>
      </w:r>
    </w:p>
    <w:p w14:paraId="5A7C599E" w14:textId="72627839" w:rsidR="00D42AA8" w:rsidRDefault="00E67DFA" w:rsidP="00D42AA8">
      <w:pPr>
        <w:pStyle w:val="ListParagraph"/>
        <w:numPr>
          <w:ilvl w:val="0"/>
          <w:numId w:val="29"/>
        </w:numPr>
      </w:pPr>
      <w:r>
        <w:t xml:space="preserve">The IOUs must be permitted to recovery reasonably incurred interconnection costs.  </w:t>
      </w:r>
      <w:r w:rsidR="00D42AA8">
        <w:t>Should the Commission decide t</w:t>
      </w:r>
      <w:r w:rsidR="00FE1A09">
        <w:t>o</w:t>
      </w:r>
      <w:r w:rsidR="00D42AA8">
        <w:t xml:space="preserve"> prohibits the collection of security</w:t>
      </w:r>
      <w:r>
        <w:t xml:space="preserve"> for costs an Interconnection Customer may cause a utility to incur</w:t>
      </w:r>
      <w:r w:rsidR="00D42AA8">
        <w:t xml:space="preserve">, the recovery of costs through </w:t>
      </w:r>
      <w:r w:rsidR="00D42AA8">
        <w:lastRenderedPageBreak/>
        <w:t xml:space="preserve">customer rates </w:t>
      </w:r>
      <w:r>
        <w:t xml:space="preserve">is one option for cost recovery if a utility cannot </w:t>
      </w:r>
      <w:r w:rsidR="00D42AA8">
        <w:t xml:space="preserve">recover costs incurred from contributors.  </w:t>
      </w:r>
    </w:p>
    <w:p w14:paraId="6F86ED18" w14:textId="77777777" w:rsidR="00D42AA8" w:rsidRPr="009673A1" w:rsidRDefault="00D42AA8" w:rsidP="00D42AA8">
      <w:pPr>
        <w:pStyle w:val="ListParagraph"/>
        <w:numPr>
          <w:ilvl w:val="0"/>
          <w:numId w:val="29"/>
        </w:numPr>
      </w:pPr>
      <w:r>
        <w:t>However, as noted above, the IOUs see many complications with this Proposal, such as how the recovery mechanism will be structured, tracked, reviewed, and/or approved.  More consideration about how this recovery mechanism should be structured will be required. The IOUs strongly support the status quo proposal of Proposal 1.</w:t>
      </w:r>
    </w:p>
    <w:p w14:paraId="7A95C3A0" w14:textId="6A86B98C" w:rsidR="000A7F9F" w:rsidRDefault="00E67DFA" w:rsidP="009673A1">
      <w:pPr>
        <w:pStyle w:val="ListParagraph"/>
        <w:numPr>
          <w:ilvl w:val="0"/>
          <w:numId w:val="29"/>
        </w:numPr>
      </w:pPr>
      <w:r>
        <w:t>The IOUs believe the energy price analysis offered by Clean Coalition fails to offer sufficient evidence to support its broad conclusions.</w:t>
      </w:r>
    </w:p>
    <w:p w14:paraId="3E4B23A7" w14:textId="77777777" w:rsidR="004C5F67" w:rsidRDefault="004C5F67" w:rsidP="004C5F67">
      <w:pPr>
        <w:ind w:left="360"/>
      </w:pPr>
    </w:p>
    <w:p w14:paraId="5E7ED453" w14:textId="77777777" w:rsidR="003D2734" w:rsidRPr="002F16CA" w:rsidRDefault="003D2734" w:rsidP="004C5F67">
      <w:pPr>
        <w:pStyle w:val="Heading2"/>
        <w:numPr>
          <w:ilvl w:val="0"/>
          <w:numId w:val="0"/>
        </w:numPr>
        <w:spacing w:before="0" w:after="0"/>
        <w:rPr>
          <w:b/>
        </w:rPr>
      </w:pPr>
      <w:r w:rsidRPr="002F16CA">
        <w:rPr>
          <w:b/>
        </w:rPr>
        <w:t xml:space="preserve">Proposal </w:t>
      </w:r>
      <w:r w:rsidR="0054776C">
        <w:rPr>
          <w:b/>
        </w:rPr>
        <w:t>4</w:t>
      </w:r>
      <w:r w:rsidRPr="002F16CA">
        <w:rPr>
          <w:b/>
        </w:rPr>
        <w:t xml:space="preserve">: </w:t>
      </w:r>
      <w:commentRangeStart w:id="13"/>
      <w:r w:rsidR="001D0E5F" w:rsidRPr="001D0E5F">
        <w:rPr>
          <w:b/>
        </w:rPr>
        <w:t>Recommendation for R.17-07-007 Scope to Consider Utility ITCC Practices That Are Consistent Between Utilities</w:t>
      </w:r>
      <w:commentRangeEnd w:id="13"/>
      <w:r w:rsidR="001D0E5F">
        <w:rPr>
          <w:rStyle w:val="CommentReference"/>
          <w:rFonts w:asciiTheme="minorHAnsi" w:eastAsiaTheme="minorHAnsi" w:hAnsiTheme="minorHAnsi" w:cstheme="minorBidi"/>
          <w:bCs w:val="0"/>
          <w:i w:val="0"/>
          <w:color w:val="auto"/>
        </w:rPr>
        <w:commentReference w:id="13"/>
      </w:r>
    </w:p>
    <w:p w14:paraId="42A45017" w14:textId="77777777" w:rsidR="001D0E5F" w:rsidRDefault="001D0E5F" w:rsidP="001D0E5F">
      <w:pPr>
        <w:contextualSpacing/>
      </w:pPr>
    </w:p>
    <w:p w14:paraId="34A15753" w14:textId="1AFB7A75" w:rsidR="001D0E5F" w:rsidRDefault="001D0E5F" w:rsidP="001D0E5F">
      <w:pPr>
        <w:contextualSpacing/>
      </w:pPr>
      <w:r w:rsidRPr="003E41FB">
        <w:rPr>
          <w:u w:val="single"/>
        </w:rPr>
        <w:t>Summary:</w:t>
      </w:r>
      <w:r>
        <w:t xml:space="preserve"> Each Utility evaluates its own risk tolerance level and decides which option under CPUC Decision 94-06-038 works best to protect against </w:t>
      </w:r>
      <w:r w:rsidR="00661785">
        <w:t xml:space="preserve">a </w:t>
      </w:r>
      <w:r>
        <w:t>potential tax liability and has the discretion to adjust based on updates to risk and risk tolerance levels.</w:t>
      </w:r>
      <w:r w:rsidR="00D42AA8">
        <w:t xml:space="preserve">  However, the scope of Issue 7 should be </w:t>
      </w:r>
      <w:r w:rsidR="00661785">
        <w:t>expanded</w:t>
      </w:r>
      <w:r w:rsidR="00D42AA8">
        <w:t xml:space="preserve"> to address the following:</w:t>
      </w:r>
    </w:p>
    <w:p w14:paraId="701B75B7" w14:textId="77777777" w:rsidR="007935DF" w:rsidRDefault="007935DF" w:rsidP="001D0E5F">
      <w:pPr>
        <w:contextualSpacing/>
      </w:pPr>
    </w:p>
    <w:p w14:paraId="2C9FE43E" w14:textId="77777777" w:rsidR="00EF7AB8" w:rsidRDefault="00D42AA8" w:rsidP="00264B9D">
      <w:pPr>
        <w:pStyle w:val="ListParagraph"/>
        <w:numPr>
          <w:ilvl w:val="0"/>
          <w:numId w:val="32"/>
        </w:numPr>
      </w:pPr>
      <w:r>
        <w:t>Applicability of the Safe Harbor Option for behind the meter interconnections</w:t>
      </w:r>
    </w:p>
    <w:p w14:paraId="0D03F73E" w14:textId="77777777" w:rsidR="00EF7AB8" w:rsidRDefault="00D42AA8" w:rsidP="00264B9D">
      <w:pPr>
        <w:pStyle w:val="ListParagraph"/>
        <w:numPr>
          <w:ilvl w:val="0"/>
          <w:numId w:val="32"/>
        </w:numPr>
      </w:pPr>
      <w:r>
        <w:t>Alternatives to practices that trigger ITCC</w:t>
      </w:r>
    </w:p>
    <w:p w14:paraId="6C30BB65" w14:textId="77777777" w:rsidR="001D0E5F" w:rsidRPr="00C40E9B" w:rsidRDefault="001D0E5F" w:rsidP="001D0E5F">
      <w:pPr>
        <w:contextualSpacing/>
      </w:pPr>
    </w:p>
    <w:p w14:paraId="35C87DC2" w14:textId="33C48DE9" w:rsidR="00EF7AB8" w:rsidRDefault="001D0E5F" w:rsidP="00D30BB1">
      <w:pPr>
        <w:contextualSpacing/>
        <w:rPr>
          <w:b/>
          <w:i/>
        </w:rPr>
      </w:pPr>
      <w:r w:rsidRPr="000A7F9F">
        <w:rPr>
          <w:u w:val="single"/>
        </w:rPr>
        <w:t>Status:</w:t>
      </w:r>
      <w:r w:rsidRPr="000A7F9F">
        <w:t xml:space="preserve"> </w:t>
      </w:r>
      <w:r>
        <w:t>[</w:t>
      </w:r>
      <w:r w:rsidRPr="003E41FB">
        <w:rPr>
          <w:highlight w:val="yellow"/>
        </w:rPr>
        <w:t>Non-Consensus</w:t>
      </w:r>
      <w:r>
        <w:t>]</w:t>
      </w:r>
      <w:r w:rsidR="00D30BB1">
        <w:t xml:space="preserve"> </w:t>
      </w:r>
      <w:proofErr w:type="spellStart"/>
      <w:r w:rsidR="00E67DFA">
        <w:t>CalSEIA</w:t>
      </w:r>
      <w:proofErr w:type="spellEnd"/>
      <w:r w:rsidR="00E67DFA">
        <w:t xml:space="preserve">, ORA, GPI, Foundation Wind Power, Tesla, </w:t>
      </w:r>
      <w:proofErr w:type="spellStart"/>
      <w:r w:rsidR="00E67DFA">
        <w:t>Borego</w:t>
      </w:r>
      <w:proofErr w:type="spellEnd"/>
      <w:r w:rsidR="00E67DFA">
        <w:t xml:space="preserve"> Solar, Chico Electric, </w:t>
      </w:r>
      <w:proofErr w:type="spellStart"/>
      <w:r w:rsidR="00E67DFA">
        <w:t>CalCom</w:t>
      </w:r>
      <w:proofErr w:type="spellEnd"/>
      <w:r w:rsidR="00E67DFA">
        <w:t xml:space="preserve"> Solar, and </w:t>
      </w:r>
      <w:proofErr w:type="spellStart"/>
      <w:r w:rsidR="00E67DFA">
        <w:t>Sunworks</w:t>
      </w:r>
      <w:proofErr w:type="spellEnd"/>
      <w:r w:rsidR="00E67DFA">
        <w:t xml:space="preserve"> have indicated by email support in concept.</w:t>
      </w:r>
      <w:r w:rsidR="00D30BB1">
        <w:t xml:space="preserve"> </w:t>
      </w:r>
      <w:r w:rsidR="00E67DFA">
        <w:t>SCE, PG&amp;E and SDG&amp;E</w:t>
      </w:r>
      <w:r w:rsidR="00D30BB1">
        <w:t xml:space="preserve"> oppose. </w:t>
      </w:r>
    </w:p>
    <w:p w14:paraId="678D5743" w14:textId="77777777" w:rsidR="001D0E5F" w:rsidRPr="000A7F9F" w:rsidRDefault="001D0E5F" w:rsidP="001D0E5F">
      <w:pPr>
        <w:contextualSpacing/>
        <w:rPr>
          <w:u w:val="single"/>
        </w:rPr>
      </w:pPr>
    </w:p>
    <w:p w14:paraId="345992BC" w14:textId="77777777" w:rsidR="001D0E5F" w:rsidRDefault="001D0E5F" w:rsidP="001D0E5F">
      <w:pPr>
        <w:contextualSpacing/>
        <w:rPr>
          <w:u w:val="single"/>
        </w:rPr>
      </w:pPr>
      <w:r w:rsidRPr="000A7F9F">
        <w:rPr>
          <w:u w:val="single"/>
        </w:rPr>
        <w:t>Discussion:</w:t>
      </w:r>
      <w:r>
        <w:rPr>
          <w:u w:val="single"/>
        </w:rPr>
        <w:t xml:space="preserve"> </w:t>
      </w:r>
    </w:p>
    <w:p w14:paraId="6B5F17A0" w14:textId="77777777" w:rsidR="001D0E5F" w:rsidRPr="001D0E5F" w:rsidRDefault="001D0E5F" w:rsidP="001D0E5F">
      <w:pPr>
        <w:contextualSpacing/>
      </w:pPr>
    </w:p>
    <w:p w14:paraId="3A1A5374" w14:textId="08BADEB5" w:rsidR="001D0E5F" w:rsidRDefault="001F3F6C" w:rsidP="001D0E5F">
      <w:pPr>
        <w:contextualSpacing/>
      </w:pPr>
      <w:r>
        <w:t>Non-IOU stakeholder</w:t>
      </w:r>
      <w:r w:rsidR="001D0E5F">
        <w:t xml:space="preserve"> </w:t>
      </w:r>
      <w:r w:rsidR="00E67DFA">
        <w:t xml:space="preserve">discussion:  </w:t>
      </w:r>
      <w:r w:rsidR="001D0E5F">
        <w:tab/>
      </w:r>
    </w:p>
    <w:p w14:paraId="1F006C93" w14:textId="77777777" w:rsidR="001D0E5F" w:rsidRDefault="001D0E5F" w:rsidP="001D0E5F">
      <w:pPr>
        <w:contextualSpacing/>
      </w:pPr>
    </w:p>
    <w:p w14:paraId="6E51F84D" w14:textId="20AFC462" w:rsidR="001D0E5F" w:rsidRDefault="001D0E5F" w:rsidP="001D0E5F">
      <w:pPr>
        <w:pStyle w:val="ListParagraph"/>
        <w:numPr>
          <w:ilvl w:val="0"/>
          <w:numId w:val="26"/>
        </w:numPr>
      </w:pPr>
      <w:r>
        <w:t>Applicability of the Safe Harbor option for behind t</w:t>
      </w:r>
      <w:r w:rsidR="001C04D7">
        <w:t>he meter (BTM) interconnections</w:t>
      </w:r>
    </w:p>
    <w:p w14:paraId="4DFADB67" w14:textId="77777777" w:rsidR="001C04D7" w:rsidRDefault="001C04D7" w:rsidP="001C04D7">
      <w:pPr>
        <w:ind w:left="360"/>
      </w:pPr>
    </w:p>
    <w:p w14:paraId="59AF84F4" w14:textId="1CF05227" w:rsidR="001D0E5F" w:rsidRDefault="00DA774B" w:rsidP="001D0E5F">
      <w:pPr>
        <w:pStyle w:val="ListParagraph"/>
        <w:numPr>
          <w:ilvl w:val="1"/>
          <w:numId w:val="26"/>
        </w:numPr>
      </w:pPr>
      <w:r>
        <w:t>Non-utility stakeholder</w:t>
      </w:r>
      <w:r w:rsidR="001F3F6C">
        <w:t>s</w:t>
      </w:r>
      <w:commentRangeStart w:id="14"/>
      <w:r w:rsidR="001D0E5F">
        <w:t xml:space="preserve"> have asserted that BTM projects may be equally eligible for Safe Harbor and should receive this option. Utilities do not agree with this interpretation</w:t>
      </w:r>
      <w:r w:rsidR="00661785">
        <w:t xml:space="preserve"> of the Notice</w:t>
      </w:r>
      <w:r w:rsidR="001D0E5F">
        <w:t>.</w:t>
      </w:r>
      <w:commentRangeEnd w:id="14"/>
      <w:r w:rsidR="001D0E5F">
        <w:rPr>
          <w:rStyle w:val="CommentReference"/>
        </w:rPr>
        <w:commentReference w:id="14"/>
      </w:r>
    </w:p>
    <w:p w14:paraId="3D8C5C88" w14:textId="0C326F52" w:rsidR="001D0E5F" w:rsidRDefault="001D0E5F" w:rsidP="001D0E5F">
      <w:pPr>
        <w:pStyle w:val="ListParagraph"/>
        <w:numPr>
          <w:ilvl w:val="1"/>
          <w:numId w:val="26"/>
        </w:numPr>
      </w:pPr>
      <w:commentRangeStart w:id="15"/>
      <w:r>
        <w:t xml:space="preserve">The WG has identified a need for Commission clarification regarding Safe Harbor applicability to aggregated net energy metering (NEMA) </w:t>
      </w:r>
      <w:r w:rsidR="00DA774B">
        <w:t>projects, which</w:t>
      </w:r>
      <w:r>
        <w:t xml:space="preserve"> often have a no-load POI that is a new service, and similar facilities not selling energy to the host utility.</w:t>
      </w:r>
      <w:commentRangeEnd w:id="15"/>
      <w:r>
        <w:rPr>
          <w:rStyle w:val="CommentReference"/>
        </w:rPr>
        <w:commentReference w:id="15"/>
      </w:r>
    </w:p>
    <w:p w14:paraId="4CC6A9B8" w14:textId="77777777" w:rsidR="001D0E5F" w:rsidRDefault="001D0E5F" w:rsidP="001D0E5F">
      <w:pPr>
        <w:pStyle w:val="ListParagraph"/>
        <w:numPr>
          <w:ilvl w:val="1"/>
          <w:numId w:val="26"/>
        </w:numPr>
      </w:pPr>
      <w:r>
        <w:t>The WG has identified a need for IRS clarification regarding:</w:t>
      </w:r>
    </w:p>
    <w:p w14:paraId="7C69C94A" w14:textId="05E55105" w:rsidR="001D0E5F" w:rsidRDefault="001D0E5F" w:rsidP="001D0E5F">
      <w:pPr>
        <w:pStyle w:val="ListParagraph"/>
        <w:numPr>
          <w:ilvl w:val="2"/>
          <w:numId w:val="26"/>
        </w:numPr>
      </w:pPr>
      <w:r>
        <w:t xml:space="preserve">The eligibility of BTM generation for </w:t>
      </w:r>
      <w:r w:rsidR="00DA774B">
        <w:t>Safe Harbor</w:t>
      </w:r>
      <w:r>
        <w:t xml:space="preserve"> </w:t>
      </w:r>
    </w:p>
    <w:p w14:paraId="015C06BC" w14:textId="77777777" w:rsidR="001D0E5F" w:rsidRDefault="001D0E5F" w:rsidP="001D0E5F">
      <w:pPr>
        <w:pStyle w:val="ListParagraph"/>
        <w:numPr>
          <w:ilvl w:val="2"/>
          <w:numId w:val="26"/>
        </w:numPr>
      </w:pPr>
      <w:r>
        <w:t>Application of the 5% rule when the upgrade is:</w:t>
      </w:r>
    </w:p>
    <w:p w14:paraId="427B0EAC" w14:textId="77777777" w:rsidR="001D0E5F" w:rsidRDefault="001D0E5F" w:rsidP="001D0E5F">
      <w:pPr>
        <w:pStyle w:val="ListParagraph"/>
        <w:numPr>
          <w:ilvl w:val="3"/>
          <w:numId w:val="26"/>
        </w:numPr>
      </w:pPr>
      <w:commentRangeStart w:id="16"/>
      <w:r>
        <w:t>Not required by generation export but triggered by increased load in conjunction with a generation interconnection request;</w:t>
      </w:r>
      <w:commentRangeEnd w:id="16"/>
      <w:r>
        <w:rPr>
          <w:rStyle w:val="CommentReference"/>
        </w:rPr>
        <w:commentReference w:id="16"/>
      </w:r>
    </w:p>
    <w:p w14:paraId="05EEB50E" w14:textId="77777777" w:rsidR="001D0E5F" w:rsidRDefault="001D0E5F" w:rsidP="001D0E5F">
      <w:pPr>
        <w:pStyle w:val="ListParagraph"/>
        <w:numPr>
          <w:ilvl w:val="3"/>
          <w:numId w:val="26"/>
        </w:numPr>
      </w:pPr>
      <w:commentRangeStart w:id="17"/>
      <w:r>
        <w:t xml:space="preserve">Future load increases unrelated to the generation application. </w:t>
      </w:r>
      <w:commentRangeEnd w:id="17"/>
      <w:r>
        <w:rPr>
          <w:rStyle w:val="CommentReference"/>
        </w:rPr>
        <w:commentReference w:id="17"/>
      </w:r>
    </w:p>
    <w:p w14:paraId="31A48D7D" w14:textId="77777777" w:rsidR="001D0E5F" w:rsidRDefault="001D0E5F" w:rsidP="001D0E5F">
      <w:pPr>
        <w:pStyle w:val="ListParagraph"/>
        <w:numPr>
          <w:ilvl w:val="1"/>
          <w:numId w:val="26"/>
        </w:numPr>
      </w:pPr>
      <w:r>
        <w:lastRenderedPageBreak/>
        <w:t>Utilities have indicated that they feel it is most appropriate for industry representatives to make a request to the IRS, so the WG may recommend this action in our report, but the request itself may occur outside of this proceeding.</w:t>
      </w:r>
    </w:p>
    <w:p w14:paraId="10D4BF1E" w14:textId="77777777" w:rsidR="001D0E5F" w:rsidRDefault="001D0E5F" w:rsidP="001D0E5F">
      <w:pPr>
        <w:pStyle w:val="ListParagraph"/>
        <w:ind w:left="1440"/>
      </w:pPr>
    </w:p>
    <w:p w14:paraId="4CB4990C" w14:textId="45A29E35" w:rsidR="001D0E5F" w:rsidRDefault="001D0E5F" w:rsidP="001D0E5F">
      <w:pPr>
        <w:pStyle w:val="ListParagraph"/>
        <w:numPr>
          <w:ilvl w:val="0"/>
          <w:numId w:val="26"/>
        </w:numPr>
      </w:pPr>
      <w:r>
        <w:t>Alternatives to the current practice of title transfer that triggers ITCC, for both who</w:t>
      </w:r>
      <w:r w:rsidR="009316AB">
        <w:t>lesale and BTM interconnections</w:t>
      </w:r>
      <w:r>
        <w:t xml:space="preserve"> (see scoping recommendation text below)</w:t>
      </w:r>
    </w:p>
    <w:p w14:paraId="47602F36" w14:textId="77777777" w:rsidR="001D0E5F" w:rsidRDefault="001D0E5F" w:rsidP="001D0E5F">
      <w:pPr>
        <w:pStyle w:val="ListParagraph"/>
      </w:pPr>
    </w:p>
    <w:p w14:paraId="4FFFF9E4" w14:textId="77777777" w:rsidR="001D0E5F" w:rsidRPr="001C04D7" w:rsidRDefault="001D0E5F" w:rsidP="001D0E5F">
      <w:pPr>
        <w:pStyle w:val="ListParagraph"/>
        <w:rPr>
          <w:i/>
        </w:rPr>
      </w:pPr>
      <w:r w:rsidRPr="001C04D7">
        <w:rPr>
          <w:i/>
        </w:rPr>
        <w:t xml:space="preserve">Review of Transfer of Ownership of Interconnection Facilities and </w:t>
      </w:r>
      <w:r w:rsidR="00876D15" w:rsidRPr="001C04D7">
        <w:rPr>
          <w:i/>
        </w:rPr>
        <w:t xml:space="preserve">Distribution </w:t>
      </w:r>
      <w:r w:rsidRPr="001C04D7">
        <w:rPr>
          <w:i/>
        </w:rPr>
        <w:t>Upgrades to Avoid Unnecessarily Triggering ITCC</w:t>
      </w:r>
    </w:p>
    <w:p w14:paraId="2A22806A" w14:textId="3C919E5F" w:rsidR="001D0E5F" w:rsidRDefault="001D0E5F" w:rsidP="001D0E5F">
      <w:pPr>
        <w:pStyle w:val="ListParagraph"/>
        <w:numPr>
          <w:ilvl w:val="0"/>
          <w:numId w:val="27"/>
        </w:numPr>
      </w:pPr>
      <w:r>
        <w:t xml:space="preserve">Under current practice, the customer is required to contract for and pay the utility for procurement and installation of </w:t>
      </w:r>
      <w:r w:rsidR="00876D15">
        <w:t>Interconnection Facilities</w:t>
      </w:r>
      <w:r w:rsidR="006E54B3">
        <w:t>,</w:t>
      </w:r>
      <w:r>
        <w:t xml:space="preserve"> </w:t>
      </w:r>
      <w:r w:rsidR="00876D15">
        <w:t xml:space="preserve">Distribution </w:t>
      </w:r>
      <w:r w:rsidR="006E54B3">
        <w:t xml:space="preserve">and Network </w:t>
      </w:r>
      <w:r w:rsidR="00876D15">
        <w:t xml:space="preserve">Upgrade </w:t>
      </w:r>
      <w:r>
        <w:t xml:space="preserve">equipment from the host utility, and subsequently transfer ownership of this equipment back to the same utility. This creates potentially unnecessary costs and the practice should be reviewed in this </w:t>
      </w:r>
      <w:commentRangeStart w:id="18"/>
      <w:r>
        <w:t>proceeding</w:t>
      </w:r>
      <w:commentRangeEnd w:id="18"/>
      <w:r w:rsidR="00BC6DA3">
        <w:rPr>
          <w:rStyle w:val="CommentReference"/>
        </w:rPr>
        <w:commentReference w:id="18"/>
      </w:r>
      <w:r>
        <w:t>. At least two alternatives warrant consideration.</w:t>
      </w:r>
    </w:p>
    <w:p w14:paraId="120D9774" w14:textId="77777777" w:rsidR="001C04D7" w:rsidRDefault="001D0E5F" w:rsidP="001C04D7">
      <w:pPr>
        <w:pStyle w:val="ListParagraph"/>
        <w:numPr>
          <w:ilvl w:val="0"/>
          <w:numId w:val="27"/>
        </w:numPr>
      </w:pPr>
      <w:r>
        <w:t>The first option is to allow the applicant a method to retain ownership, while still granting the utility necessary rights and control. This would avoid the issues with the ITCC identified above while more significantly allowing the applicant to apply the 30% Federal Income Tax Credit and depreciation value on these costs, significantly reducing the cost of DER development and the services it provides.</w:t>
      </w:r>
      <w:r w:rsidR="00BC6DA3">
        <w:t xml:space="preserve">  </w:t>
      </w:r>
    </w:p>
    <w:p w14:paraId="410F8D4C" w14:textId="2E780B4B" w:rsidR="00EF7AB8" w:rsidRDefault="001D0E5F" w:rsidP="001C04D7">
      <w:pPr>
        <w:pStyle w:val="ListParagraph"/>
        <w:numPr>
          <w:ilvl w:val="0"/>
          <w:numId w:val="27"/>
        </w:numPr>
      </w:pPr>
      <w:commentRangeStart w:id="19"/>
      <w:r>
        <w:t xml:space="preserve">Alternatively, converting to an interconnection fee to cover utility costs may allow the utility to hold original and continuing ownership of the facilities, while avoiding the classification of the fee as a contribution in aide of construction (CIAC) that would trigger the ITCC as well as the not insignificant administrative costs and delays associated with transfer of ownership. </w:t>
      </w:r>
      <w:commentRangeEnd w:id="19"/>
      <w:r w:rsidR="00E05D78">
        <w:rPr>
          <w:rStyle w:val="CommentReference"/>
        </w:rPr>
        <w:commentReference w:id="19"/>
      </w:r>
    </w:p>
    <w:p w14:paraId="3901BEEC" w14:textId="77777777" w:rsidR="009316AB" w:rsidRDefault="009316AB" w:rsidP="009316AB">
      <w:pPr>
        <w:ind w:left="1080"/>
      </w:pPr>
    </w:p>
    <w:p w14:paraId="0CAC6631" w14:textId="77777777" w:rsidR="001D0E5F" w:rsidRDefault="00E67DFA" w:rsidP="001D0E5F">
      <w:pPr>
        <w:contextualSpacing/>
      </w:pPr>
      <w:r>
        <w:t>IOU Discussion:</w:t>
      </w:r>
    </w:p>
    <w:p w14:paraId="0C516524" w14:textId="77777777" w:rsidR="004C5F67" w:rsidRDefault="004C5F67" w:rsidP="001D0E5F">
      <w:pPr>
        <w:contextualSpacing/>
      </w:pPr>
    </w:p>
    <w:p w14:paraId="4CD92783" w14:textId="5C5810B5" w:rsidR="00EF7AB8" w:rsidRDefault="00E67DFA" w:rsidP="00264B9D">
      <w:pPr>
        <w:pStyle w:val="ListParagraph"/>
        <w:numPr>
          <w:ilvl w:val="0"/>
          <w:numId w:val="33"/>
        </w:numPr>
      </w:pPr>
      <w:r w:rsidRPr="001C04D7">
        <w:t>T</w:t>
      </w:r>
      <w:r w:rsidR="00783D52" w:rsidRPr="001C04D7">
        <w:t xml:space="preserve">he </w:t>
      </w:r>
      <w:r w:rsidR="00783D52" w:rsidRPr="001C04D7">
        <w:rPr>
          <w:highlight w:val="yellow"/>
        </w:rPr>
        <w:t>[IOUs collectively are indifferent]</w:t>
      </w:r>
      <w:r w:rsidR="00783D52" w:rsidRPr="001C04D7">
        <w:t xml:space="preserve"> towards the expansion of Issue 7 in this OIR to include approaching the IRS to gain clarification</w:t>
      </w:r>
      <w:r>
        <w:t xml:space="preserve"> </w:t>
      </w:r>
      <w:r w:rsidR="0072295E">
        <w:t xml:space="preserve">on whether </w:t>
      </w:r>
      <w:r>
        <w:t xml:space="preserve">behind-the-meter (BTM) projects </w:t>
      </w:r>
      <w:r w:rsidR="0072295E">
        <w:t xml:space="preserve">are eligible for safe harbor. The IOUs believe </w:t>
      </w:r>
      <w:r w:rsidR="0008254B">
        <w:t xml:space="preserve">that non-utility </w:t>
      </w:r>
      <w:r>
        <w:t>stakeholders are the appropriate party to undertake this effort</w:t>
      </w:r>
      <w:r w:rsidR="0008254B">
        <w:t xml:space="preserve">, which is </w:t>
      </w:r>
      <w:r>
        <w:t>consistent with</w:t>
      </w:r>
      <w:r w:rsidR="0008254B">
        <w:t xml:space="preserve"> the establishment of </w:t>
      </w:r>
      <w:r>
        <w:t xml:space="preserve">prior safe harbor </w:t>
      </w:r>
      <w:r w:rsidR="0008254B">
        <w:t>guidelines</w:t>
      </w:r>
      <w:r>
        <w:t xml:space="preserve"> and as they develop the underlying project that would be reviewed by the IRS   The IOUs believe that IRS guidance is clear that the Safe Harbor Notice as issued by the IRS does not apply to the BTM </w:t>
      </w:r>
      <w:r w:rsidR="0008254B">
        <w:t>projects</w:t>
      </w:r>
      <w:r>
        <w:t xml:space="preserve"> and therefore the burden is on </w:t>
      </w:r>
      <w:r w:rsidR="0008254B">
        <w:t xml:space="preserve">non-utility </w:t>
      </w:r>
      <w:r>
        <w:t xml:space="preserve">stakeholders to present the IOUs with tax authority that support </w:t>
      </w:r>
      <w:r w:rsidR="0008254B">
        <w:t xml:space="preserve">their </w:t>
      </w:r>
      <w:r w:rsidR="004A10A7">
        <w:t>position</w:t>
      </w:r>
      <w:r>
        <w:t xml:space="preserve">.  </w:t>
      </w:r>
    </w:p>
    <w:p w14:paraId="41CDB1E5" w14:textId="1FB71705" w:rsidR="00EF7AB8" w:rsidRPr="001C04D7" w:rsidRDefault="00783D52" w:rsidP="00264B9D">
      <w:pPr>
        <w:pStyle w:val="ListParagraph"/>
        <w:numPr>
          <w:ilvl w:val="0"/>
          <w:numId w:val="33"/>
        </w:numPr>
      </w:pPr>
      <w:r w:rsidRPr="001C04D7">
        <w:t>[</w:t>
      </w:r>
      <w:r w:rsidRPr="001C04D7">
        <w:rPr>
          <w:highlight w:val="yellow"/>
        </w:rPr>
        <w:t>Addi</w:t>
      </w:r>
      <w:r w:rsidR="001C04D7" w:rsidRPr="001C04D7">
        <w:rPr>
          <w:highlight w:val="yellow"/>
        </w:rPr>
        <w:t>tional discussion to be added</w:t>
      </w:r>
      <w:r w:rsidR="001C04D7" w:rsidRPr="001C04D7">
        <w:t xml:space="preserve">] </w:t>
      </w:r>
      <w:r w:rsidRPr="001C04D7">
        <w:t xml:space="preserve"> </w:t>
      </w:r>
    </w:p>
    <w:p w14:paraId="0B2E67D9" w14:textId="77777777" w:rsidR="00E67DFA" w:rsidRDefault="00E67DFA" w:rsidP="001D0E5F">
      <w:pPr>
        <w:contextualSpacing/>
      </w:pPr>
    </w:p>
    <w:p w14:paraId="0E52B884" w14:textId="77777777" w:rsidR="00E67DFA" w:rsidRDefault="00E67DFA" w:rsidP="001D0E5F">
      <w:pPr>
        <w:contextualSpacing/>
      </w:pPr>
    </w:p>
    <w:p w14:paraId="129096AD" w14:textId="600328F2" w:rsidR="000A7F9F" w:rsidRPr="000A7F9F" w:rsidRDefault="000A7F9F" w:rsidP="001D0E5F">
      <w:pPr>
        <w:contextualSpacing/>
        <w:rPr>
          <w:b/>
          <w:i/>
        </w:rPr>
      </w:pPr>
    </w:p>
    <w:sectPr w:rsidR="000A7F9F" w:rsidRPr="000A7F9F" w:rsidSect="007D26DD">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thew Dwyer" w:date="2018-02-12T20:41:00Z" w:initials="MD">
    <w:p w14:paraId="3936DF81" w14:textId="77777777" w:rsidR="00D42AA8" w:rsidRDefault="00D42AA8">
      <w:pPr>
        <w:pStyle w:val="CommentText"/>
      </w:pPr>
      <w:r>
        <w:rPr>
          <w:rStyle w:val="CommentReference"/>
        </w:rPr>
        <w:annotationRef/>
      </w:r>
      <w:r>
        <w:t>This should explicitly list all parties who support</w:t>
      </w:r>
    </w:p>
  </w:comment>
  <w:comment w:id="2" w:author="Home" w:date="2018-02-11T11:40:00Z" w:initials="H">
    <w:p w14:paraId="0929172E" w14:textId="77777777" w:rsidR="00D42AA8" w:rsidRDefault="00D42AA8" w:rsidP="00D42AA8">
      <w:pPr>
        <w:pStyle w:val="CommentText"/>
      </w:pPr>
      <w:r>
        <w:rPr>
          <w:rStyle w:val="CommentReference"/>
        </w:rPr>
        <w:annotationRef/>
      </w:r>
      <w:r>
        <w:t xml:space="preserve">The IOUs would ask not to use the term regulatory backstop as in effect it is a shift in scope of cost recovery from a customer who caused the expense to a separate class of customers; this comment is for the entire document; Proposal Three also clarifies this concept </w:t>
      </w:r>
    </w:p>
  </w:comment>
  <w:comment w:id="3" w:author="Home" w:date="2018-02-12T06:31:00Z" w:initials="H">
    <w:p w14:paraId="190D6C26" w14:textId="77777777" w:rsidR="003B181D" w:rsidRDefault="003B181D">
      <w:pPr>
        <w:pStyle w:val="CommentText"/>
      </w:pPr>
      <w:r>
        <w:rPr>
          <w:rStyle w:val="CommentReference"/>
        </w:rPr>
        <w:annotationRef/>
      </w:r>
      <w:r>
        <w:t xml:space="preserve">Please provide support to this statement as we do not agree; the cost is the carrying cost of the applicable security based on the final actual cost of the project as determined upon final accounting; Clean Coalition, please provide support to this claim </w:t>
      </w:r>
    </w:p>
  </w:comment>
  <w:comment w:id="4" w:author="Home" w:date="2018-02-12T06:32:00Z" w:initials="H">
    <w:p w14:paraId="32FAAE78" w14:textId="77777777" w:rsidR="003B181D" w:rsidRDefault="003B181D">
      <w:pPr>
        <w:pStyle w:val="CommentText"/>
      </w:pPr>
      <w:r>
        <w:rPr>
          <w:rStyle w:val="CommentReference"/>
        </w:rPr>
        <w:annotationRef/>
      </w:r>
      <w:r>
        <w:t xml:space="preserve">Please provide calculation based upon data request </w:t>
      </w:r>
    </w:p>
  </w:comment>
  <w:comment w:id="5" w:author="McCawley, Joseph M" w:date="2018-02-11T16:07:00Z" w:initials="MJM">
    <w:p w14:paraId="56040211" w14:textId="77777777" w:rsidR="003B181D" w:rsidRDefault="003B181D">
      <w:pPr>
        <w:pStyle w:val="CommentText"/>
      </w:pPr>
      <w:r>
        <w:rPr>
          <w:rStyle w:val="CommentReference"/>
        </w:rPr>
        <w:annotationRef/>
      </w:r>
      <w:r>
        <w:t xml:space="preserve">Basis of de minims risk representation needs to be provided or term should be replaced.  </w:t>
      </w:r>
    </w:p>
  </w:comment>
  <w:comment w:id="6" w:author="Home" w:date="2018-02-12T06:34:00Z" w:initials="H">
    <w:p w14:paraId="72D02329" w14:textId="77777777" w:rsidR="003B181D" w:rsidRDefault="003B181D">
      <w:pPr>
        <w:pStyle w:val="CommentText"/>
      </w:pPr>
      <w:r>
        <w:rPr>
          <w:rStyle w:val="CommentReference"/>
        </w:rPr>
        <w:annotationRef/>
      </w:r>
      <w:r>
        <w:t xml:space="preserve">IOUs do not agree </w:t>
      </w:r>
    </w:p>
  </w:comment>
  <w:comment w:id="7" w:author="McCawley, Joseph M" w:date="2018-02-11T16:10:00Z" w:initials="MJM">
    <w:p w14:paraId="35E1C5B2" w14:textId="77777777" w:rsidR="003B181D" w:rsidRDefault="003B181D">
      <w:pPr>
        <w:pStyle w:val="CommentText"/>
      </w:pPr>
      <w:r>
        <w:rPr>
          <w:rStyle w:val="CommentReference"/>
        </w:rPr>
        <w:annotationRef/>
      </w:r>
      <w:r>
        <w:t>What subsequent advice or rulings from the IRS and FERC? Please provide reference to what advice or rulings you are referring to</w:t>
      </w:r>
    </w:p>
  </w:comment>
  <w:comment w:id="8" w:author="Home" w:date="2018-02-12T06:41:00Z" w:initials="H">
    <w:p w14:paraId="316A036C" w14:textId="77777777" w:rsidR="003B181D" w:rsidRDefault="003B181D">
      <w:pPr>
        <w:pStyle w:val="CommentText"/>
      </w:pPr>
      <w:r>
        <w:rPr>
          <w:rStyle w:val="CommentReference"/>
        </w:rPr>
        <w:annotationRef/>
      </w:r>
      <w:r>
        <w:t xml:space="preserve">Is this representing that the carrying costs associated with securing a LOC or other type of security rendered the project economically unviable?   </w:t>
      </w:r>
    </w:p>
  </w:comment>
  <w:comment w:id="9" w:author="Hayashida, Amara" w:date="2018-02-07T23:04:00Z" w:initials="HA">
    <w:p w14:paraId="12036377" w14:textId="77777777" w:rsidR="003B181D" w:rsidRDefault="003B181D">
      <w:pPr>
        <w:pStyle w:val="CommentText"/>
      </w:pPr>
      <w:r>
        <w:rPr>
          <w:rStyle w:val="CommentReference"/>
        </w:rPr>
        <w:annotationRef/>
      </w:r>
      <w:r>
        <w:t>You need a recovery mechanism to get it through rates</w:t>
      </w:r>
    </w:p>
  </w:comment>
  <w:comment w:id="10" w:author="Kathryn Enright" w:date="2018-02-12T08:39:00Z" w:initials="KE">
    <w:p w14:paraId="270B82C8" w14:textId="77777777" w:rsidR="0096296D" w:rsidRDefault="0096296D" w:rsidP="0096296D">
      <w:pPr>
        <w:pStyle w:val="CommentText"/>
      </w:pPr>
      <w:r>
        <w:rPr>
          <w:rStyle w:val="CommentReference"/>
        </w:rPr>
        <w:annotationRef/>
      </w:r>
      <w:r>
        <w:t xml:space="preserve">The use of an automatic trigger has not been fully vetted by the IOUs and the IOUs would need a Commission decision to authorize this approach </w:t>
      </w:r>
    </w:p>
  </w:comment>
  <w:comment w:id="11" w:author="Kathryn Enright" w:date="2018-02-12T08:56:00Z" w:initials="KE">
    <w:p w14:paraId="5BCECBEE" w14:textId="77777777" w:rsidR="00D42AA8" w:rsidRDefault="00D42AA8" w:rsidP="00D42AA8">
      <w:pPr>
        <w:pStyle w:val="CommentText"/>
      </w:pPr>
      <w:r>
        <w:rPr>
          <w:rStyle w:val="CommentReference"/>
        </w:rPr>
        <w:annotationRef/>
      </w:r>
      <w:r>
        <w:t xml:space="preserve">As noted previously, please provide calculation from prior data request that supports this assertion </w:t>
      </w:r>
    </w:p>
  </w:comment>
  <w:comment w:id="12" w:author="Kathryn Enright" w:date="2018-02-12T08:58:00Z" w:initials="KE">
    <w:p w14:paraId="66BA8510" w14:textId="77777777" w:rsidR="00D42AA8" w:rsidRDefault="00D42AA8" w:rsidP="00D42AA8">
      <w:pPr>
        <w:pStyle w:val="CommentText"/>
      </w:pPr>
      <w:r>
        <w:rPr>
          <w:rStyle w:val="CommentReference"/>
        </w:rPr>
        <w:annotationRef/>
      </w:r>
      <w:proofErr w:type="spellStart"/>
      <w:r>
        <w:t>Sahm</w:t>
      </w:r>
      <w:proofErr w:type="spellEnd"/>
      <w:r>
        <w:t xml:space="preserve">, We do not require cash and cash has been provided in response to developer request (in some cases the amount is low enough that a LOC may be more administratively difficult for the developer; a comment throughout the draft is that the costs associated with the security are carrying costs for the instrument itself not the full security amount and we don’t require cash </w:t>
      </w:r>
    </w:p>
  </w:comment>
  <w:comment w:id="13" w:author="Chung, William" w:date="2018-02-12T19:31:00Z" w:initials="CW">
    <w:p w14:paraId="152A7E11" w14:textId="77777777" w:rsidR="001D0E5F" w:rsidRDefault="001D0E5F">
      <w:pPr>
        <w:pStyle w:val="CommentText"/>
      </w:pPr>
      <w:r>
        <w:rPr>
          <w:rStyle w:val="CommentReference"/>
        </w:rPr>
        <w:annotationRef/>
      </w:r>
      <w:r>
        <w:t>This title doesn’t quite capture the proposal</w:t>
      </w:r>
    </w:p>
  </w:comment>
  <w:comment w:id="14" w:author="Chung, William" w:date="2018-02-12T19:31:00Z" w:initials="CW">
    <w:p w14:paraId="33CB6511" w14:textId="77777777" w:rsidR="001D0E5F" w:rsidRDefault="001D0E5F">
      <w:pPr>
        <w:pStyle w:val="CommentText"/>
      </w:pPr>
      <w:r>
        <w:rPr>
          <w:rStyle w:val="CommentReference"/>
        </w:rPr>
        <w:annotationRef/>
      </w:r>
      <w:r>
        <w:t>Please provide language</w:t>
      </w:r>
    </w:p>
  </w:comment>
  <w:comment w:id="15" w:author="Chung, William" w:date="2018-02-12T19:32:00Z" w:initials="CW">
    <w:p w14:paraId="1CF0FACF" w14:textId="77777777" w:rsidR="001D0E5F" w:rsidRDefault="001D0E5F">
      <w:pPr>
        <w:pStyle w:val="CommentText"/>
      </w:pPr>
      <w:r>
        <w:rPr>
          <w:rStyle w:val="CommentReference"/>
        </w:rPr>
        <w:annotationRef/>
      </w:r>
      <w:r>
        <w:t>Please provide language from IRS notices that allow NEM A or retail serving DERs</w:t>
      </w:r>
    </w:p>
  </w:comment>
  <w:comment w:id="16" w:author="Chung, William" w:date="2018-02-12T19:32:00Z" w:initials="CW">
    <w:p w14:paraId="63D286D0" w14:textId="77777777" w:rsidR="001D0E5F" w:rsidRDefault="001D0E5F">
      <w:pPr>
        <w:pStyle w:val="CommentText"/>
      </w:pPr>
      <w:r>
        <w:rPr>
          <w:rStyle w:val="CommentReference"/>
        </w:rPr>
        <w:annotationRef/>
      </w:r>
      <w:r>
        <w:t>Please provide additional context</w:t>
      </w:r>
    </w:p>
  </w:comment>
  <w:comment w:id="17" w:author="Chung, William" w:date="2018-02-12T19:32:00Z" w:initials="CW">
    <w:p w14:paraId="1E8AD72F" w14:textId="77777777" w:rsidR="001D0E5F" w:rsidRDefault="001D0E5F">
      <w:pPr>
        <w:pStyle w:val="CommentText"/>
      </w:pPr>
      <w:r>
        <w:rPr>
          <w:rStyle w:val="CommentReference"/>
        </w:rPr>
        <w:annotationRef/>
      </w:r>
      <w:r>
        <w:t>Same…</w:t>
      </w:r>
      <w:proofErr w:type="gramStart"/>
      <w:r>
        <w:t>.additional</w:t>
      </w:r>
      <w:proofErr w:type="gramEnd"/>
      <w:r>
        <w:t xml:space="preserve"> context is required</w:t>
      </w:r>
    </w:p>
  </w:comment>
  <w:comment w:id="18" w:author="Home" w:date="2018-02-13T06:38:00Z" w:initials="H">
    <w:p w14:paraId="4F6DDA60" w14:textId="3067F7BA" w:rsidR="00BC6DA3" w:rsidRDefault="00BC6DA3">
      <w:pPr>
        <w:pStyle w:val="CommentText"/>
      </w:pPr>
      <w:r>
        <w:rPr>
          <w:rStyle w:val="CommentReference"/>
        </w:rPr>
        <w:annotationRef/>
      </w:r>
      <w:r>
        <w:t xml:space="preserve">I believe it is scoped later in the proceeding </w:t>
      </w:r>
    </w:p>
  </w:comment>
  <w:comment w:id="19" w:author="Chung, William" w:date="2018-02-12T19:35:00Z" w:initials="CW">
    <w:p w14:paraId="445F6679" w14:textId="77777777" w:rsidR="00E05D78" w:rsidRDefault="00E05D78">
      <w:pPr>
        <w:pStyle w:val="CommentText"/>
      </w:pPr>
      <w:r>
        <w:rPr>
          <w:rStyle w:val="CommentReference"/>
        </w:rPr>
        <w:annotationRef/>
      </w:r>
      <w:r>
        <w:t>Not clear what this means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6DF81" w15:done="0"/>
  <w15:commentEx w15:paraId="0929172E" w15:done="0"/>
  <w15:commentEx w15:paraId="190D6C26" w15:done="0"/>
  <w15:commentEx w15:paraId="32FAAE78" w15:done="0"/>
  <w15:commentEx w15:paraId="56040211" w15:done="0"/>
  <w15:commentEx w15:paraId="72D02329" w15:done="0"/>
  <w15:commentEx w15:paraId="35E1C5B2" w15:done="0"/>
  <w15:commentEx w15:paraId="316A036C" w15:done="0"/>
  <w15:commentEx w15:paraId="12036377" w15:done="0"/>
  <w15:commentEx w15:paraId="270B82C8" w15:done="0"/>
  <w15:commentEx w15:paraId="5BCECBEE" w15:done="0"/>
  <w15:commentEx w15:paraId="66BA8510" w15:done="0"/>
  <w15:commentEx w15:paraId="152A7E11" w15:done="0"/>
  <w15:commentEx w15:paraId="33CB6511" w15:done="0"/>
  <w15:commentEx w15:paraId="1CF0FACF" w15:done="0"/>
  <w15:commentEx w15:paraId="63D286D0" w15:done="0"/>
  <w15:commentEx w15:paraId="1E8AD72F" w15:done="0"/>
  <w15:commentEx w15:paraId="4F6DDA60" w15:done="0"/>
  <w15:commentEx w15:paraId="445F66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39C9" w14:textId="77777777" w:rsidR="00A8275F" w:rsidRDefault="00A8275F" w:rsidP="005350FA">
      <w:r>
        <w:separator/>
      </w:r>
    </w:p>
  </w:endnote>
  <w:endnote w:type="continuationSeparator" w:id="0">
    <w:p w14:paraId="5682CE1A" w14:textId="77777777" w:rsidR="00A8275F" w:rsidRDefault="00A8275F" w:rsidP="0053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07804"/>
      <w:docPartObj>
        <w:docPartGallery w:val="Page Numbers (Bottom of Page)"/>
        <w:docPartUnique/>
      </w:docPartObj>
    </w:sdtPr>
    <w:sdtEndPr>
      <w:rPr>
        <w:noProof/>
      </w:rPr>
    </w:sdtEndPr>
    <w:sdtContent>
      <w:p w14:paraId="2EF47F97" w14:textId="59E6E9B7" w:rsidR="003B181D" w:rsidRDefault="00783D52">
        <w:pPr>
          <w:pStyle w:val="Footer"/>
        </w:pPr>
        <w:r>
          <w:fldChar w:fldCharType="begin"/>
        </w:r>
        <w:r w:rsidR="003B181D">
          <w:instrText xml:space="preserve"> PAGE   \* MERGEFORMAT </w:instrText>
        </w:r>
        <w:r>
          <w:fldChar w:fldCharType="separate"/>
        </w:r>
        <w:r w:rsidR="007905FA">
          <w:rPr>
            <w:noProof/>
          </w:rPr>
          <w:t>1</w:t>
        </w:r>
        <w:r>
          <w:rPr>
            <w:noProof/>
          </w:rPr>
          <w:fldChar w:fldCharType="end"/>
        </w:r>
      </w:p>
    </w:sdtContent>
  </w:sdt>
  <w:p w14:paraId="74CF9945" w14:textId="77777777" w:rsidR="003B181D" w:rsidRDefault="003B18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946F" w14:textId="77777777" w:rsidR="00A8275F" w:rsidRDefault="00A8275F" w:rsidP="005350FA">
      <w:r>
        <w:separator/>
      </w:r>
    </w:p>
  </w:footnote>
  <w:footnote w:type="continuationSeparator" w:id="0">
    <w:p w14:paraId="7C56FE9C" w14:textId="77777777" w:rsidR="00A8275F" w:rsidRDefault="00A8275F" w:rsidP="005350FA">
      <w:r>
        <w:continuationSeparator/>
      </w:r>
    </w:p>
  </w:footnote>
  <w:footnote w:id="1">
    <w:p w14:paraId="2CBB7224" w14:textId="77777777" w:rsidR="003B181D" w:rsidRDefault="003B181D">
      <w:pPr>
        <w:pStyle w:val="FootnoteText"/>
      </w:pPr>
      <w:r w:rsidRPr="00074998">
        <w:rPr>
          <w:rStyle w:val="FootnoteReference"/>
        </w:rPr>
        <w:footnoteRef/>
      </w:r>
      <w:r w:rsidRPr="00074998">
        <w:t xml:space="preserve"> </w:t>
      </w:r>
      <w:r w:rsidRPr="00074998">
        <w:rPr>
          <w:sz w:val="20"/>
          <w:szCs w:val="20"/>
        </w:rPr>
        <w:t>CPUC Decision (D.) 94-06-038 established three options to assure payment to the purchasing utility for any future taxes: (1) pay the full ITCC; (2) provide the utility a letter of credit for the value of the full ITCC; or (3) execute an indemnity agreement and provide a guarantee for the value of the ITCC.</w:t>
      </w:r>
    </w:p>
  </w:footnote>
  <w:footnote w:id="2">
    <w:p w14:paraId="2E168F85" w14:textId="77777777" w:rsidR="003B181D" w:rsidRDefault="003B181D">
      <w:pPr>
        <w:pStyle w:val="FootnoteText"/>
      </w:pPr>
      <w:r>
        <w:rPr>
          <w:rStyle w:val="FootnoteReference"/>
        </w:rPr>
        <w:footnoteRef/>
      </w:r>
      <w:r>
        <w:t xml:space="preserve"> </w:t>
      </w:r>
      <w:r>
        <w:rPr>
          <w:sz w:val="20"/>
          <w:szCs w:val="20"/>
        </w:rPr>
        <w:t xml:space="preserve">Section III.C.1.a. of IRS Notice 2016-36 </w:t>
      </w:r>
      <w:r>
        <w:t xml:space="preserve"> </w:t>
      </w:r>
    </w:p>
  </w:footnote>
  <w:footnote w:id="3">
    <w:p w14:paraId="328C9CE3" w14:textId="77777777" w:rsidR="003B181D" w:rsidRDefault="003B181D">
      <w:pPr>
        <w:pStyle w:val="FootnoteText"/>
      </w:pPr>
      <w:r>
        <w:rPr>
          <w:rStyle w:val="FootnoteReference"/>
        </w:rPr>
        <w:footnoteRef/>
      </w:r>
      <w:r>
        <w:t xml:space="preserve"> </w:t>
      </w:r>
      <w:r>
        <w:rPr>
          <w:sz w:val="20"/>
          <w:szCs w:val="20"/>
        </w:rPr>
        <w:t>Section III.C.2. of IRS Notice 2016-36</w:t>
      </w:r>
    </w:p>
  </w:footnote>
  <w:footnote w:id="4">
    <w:p w14:paraId="576B7373" w14:textId="77777777" w:rsidR="003B181D" w:rsidRDefault="003B181D">
      <w:pPr>
        <w:pStyle w:val="FootnoteText"/>
      </w:pPr>
      <w:r>
        <w:rPr>
          <w:rStyle w:val="FootnoteReference"/>
        </w:rPr>
        <w:footnoteRef/>
      </w:r>
      <w:r>
        <w:t xml:space="preserve"> </w:t>
      </w:r>
      <w:r>
        <w:rPr>
          <w:sz w:val="20"/>
          <w:szCs w:val="20"/>
        </w:rPr>
        <w:t xml:space="preserve">Section III.C.4. of IRS Notice 2016-36 </w:t>
      </w:r>
      <w:r>
        <w:t xml:space="preserve"> </w:t>
      </w:r>
    </w:p>
  </w:footnote>
  <w:footnote w:id="5">
    <w:p w14:paraId="5038EB74" w14:textId="77777777" w:rsidR="003B181D" w:rsidRDefault="003B181D">
      <w:pPr>
        <w:pStyle w:val="FootnoteText"/>
      </w:pPr>
      <w:r>
        <w:rPr>
          <w:rStyle w:val="FootnoteReference"/>
        </w:rPr>
        <w:footnoteRef/>
      </w:r>
      <w:r>
        <w:t xml:space="preserve"> </w:t>
      </w:r>
      <w:r>
        <w:rPr>
          <w:sz w:val="20"/>
          <w:szCs w:val="20"/>
        </w:rPr>
        <w:t xml:space="preserve">Section III.C.5. of IRS Notice 2016-36 </w:t>
      </w:r>
      <w:r>
        <w:t xml:space="preserve"> </w:t>
      </w:r>
    </w:p>
  </w:footnote>
  <w:footnote w:id="6">
    <w:p w14:paraId="32AD9177" w14:textId="77777777" w:rsidR="003B181D" w:rsidRPr="00780F78" w:rsidRDefault="003B181D">
      <w:pPr>
        <w:pStyle w:val="FootnoteText"/>
        <w:rPr>
          <w:sz w:val="20"/>
          <w:szCs w:val="20"/>
        </w:rPr>
      </w:pPr>
      <w:r>
        <w:rPr>
          <w:rStyle w:val="FootnoteReference"/>
        </w:rPr>
        <w:footnoteRef/>
      </w:r>
      <w:r>
        <w:t xml:space="preserve"> </w:t>
      </w:r>
      <w:r w:rsidRPr="00780F78">
        <w:rPr>
          <w:rFonts w:cs="Times New Roman"/>
          <w:sz w:val="20"/>
          <w:szCs w:val="20"/>
          <w:lang w:eastAsia="zh-CN"/>
        </w:rPr>
        <w:t>Docket No.</w:t>
      </w:r>
      <w:r w:rsidRPr="00780F78">
        <w:rPr>
          <w:sz w:val="20"/>
          <w:szCs w:val="20"/>
        </w:rPr>
        <w:t xml:space="preserve"> </w:t>
      </w:r>
      <w:r w:rsidRPr="00780F78">
        <w:rPr>
          <w:rFonts w:cs="Times New Roman"/>
          <w:sz w:val="20"/>
          <w:szCs w:val="20"/>
          <w:lang w:eastAsia="zh-CN"/>
        </w:rPr>
        <w:t>ER11-3944-000. </w:t>
      </w:r>
      <w:r w:rsidRPr="00780F78">
        <w:rPr>
          <w:sz w:val="20"/>
          <w:szCs w:val="20"/>
        </w:rPr>
        <w:t>On June 29, 2011, Pacific Gas and Electric Company (PG&amp;E) submitted a request for waiver of the provision in the appendices or attachments of certain generator interconnection agreements that requires interconnection customers to provide security for the estimated amount of the potential income tax liability on generator interconnection facilities. The income tax at issue is commonly referred to as the income tax component of contribution (ITCC). PG&amp;E’s requested waiver would, on a prospective basis waive the provisions requiring customers to post ITCC under each generator interconnection agreement</w:t>
      </w:r>
      <w:r w:rsidRPr="00780F78">
        <w:rPr>
          <w:rStyle w:val="s1"/>
          <w:rFonts w:asciiTheme="minorHAnsi" w:hAnsiTheme="minorHAnsi"/>
          <w:sz w:val="20"/>
          <w:szCs w:val="20"/>
        </w:rPr>
        <w:t xml:space="preserve"> </w:t>
      </w:r>
      <w:r w:rsidRPr="00780F78">
        <w:rPr>
          <w:sz w:val="20"/>
          <w:szCs w:val="20"/>
        </w:rPr>
        <w:t>and authorize PG&amp;E to refund all ITCC security amounts (with interest) to certain customers. In this order, we grant PG&amp;E’s waiver request.</w:t>
      </w:r>
      <w:r w:rsidRPr="00780F78">
        <w:rPr>
          <w:rStyle w:val="apple-converted-space"/>
          <w:sz w:val="20"/>
          <w:szCs w:val="20"/>
        </w:rPr>
        <w:t> </w:t>
      </w:r>
      <w:r w:rsidRPr="00780F78">
        <w:rPr>
          <w:sz w:val="20"/>
          <w:szCs w:val="20"/>
        </w:rPr>
        <w:t>CAISO supported PG&amp;E’s request for waiver. PG&amp;E currently does not require the Interconnection Customer to provide Income Tax Component of Contribution (“ITCC”) security to cover the potential tax liability on the Interconnection Facilities; however, PG&amp;E reserves the right to require, on a non-discriminatory basis, the Interconnection Customer to provide such security, in a form reasonably acceptable to PG&amp;E as indicated in Section 5.17 of the LGIA (or Section 11 of the SGIA), in an amount up to the cost consequences of any current tax liability. Upon request, and within sixty (60) Calendar Days’ notice, the Interconnection Customer shall provide PG&amp;E such ITCC security in the form requested by PG&amp;E. </w:t>
      </w:r>
    </w:p>
  </w:footnote>
  <w:footnote w:id="7">
    <w:p w14:paraId="47B25148" w14:textId="77777777" w:rsidR="003B181D" w:rsidRPr="00780F78" w:rsidRDefault="003B181D">
      <w:pPr>
        <w:pStyle w:val="FootnoteText"/>
        <w:rPr>
          <w:sz w:val="20"/>
          <w:szCs w:val="20"/>
        </w:rPr>
      </w:pPr>
      <w:r w:rsidRPr="00780F78">
        <w:rPr>
          <w:rStyle w:val="FootnoteReference"/>
          <w:sz w:val="20"/>
          <w:szCs w:val="20"/>
          <w:highlight w:val="yellow"/>
        </w:rPr>
        <w:footnoteRef/>
      </w:r>
      <w:r w:rsidRPr="00780F78">
        <w:rPr>
          <w:sz w:val="20"/>
          <w:szCs w:val="20"/>
          <w:highlight w:val="yellow"/>
        </w:rPr>
        <w:t xml:space="preserve"> cite</w:t>
      </w:r>
    </w:p>
  </w:footnote>
  <w:footnote w:id="8">
    <w:p w14:paraId="1EE502D6" w14:textId="77777777" w:rsidR="003B181D" w:rsidRPr="00780F78" w:rsidRDefault="003B181D" w:rsidP="003E41FB">
      <w:pPr>
        <w:pStyle w:val="FootnoteText"/>
        <w:rPr>
          <w:sz w:val="20"/>
          <w:szCs w:val="20"/>
        </w:rPr>
      </w:pPr>
      <w:r w:rsidRPr="00780F78">
        <w:rPr>
          <w:rStyle w:val="FootnoteReference"/>
          <w:sz w:val="20"/>
          <w:szCs w:val="20"/>
        </w:rPr>
        <w:footnoteRef/>
      </w:r>
      <w:r w:rsidRPr="00780F78">
        <w:rPr>
          <w:sz w:val="20"/>
          <w:szCs w:val="20"/>
        </w:rPr>
        <w:t xml:space="preserve"> This figure is from the Clean Coalition data request and reflects interconnections prior to 2013. Confidential quarterly interconnection cost reports from the IOUs were subsequently initiated and available to Commission staff.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87E6" w14:textId="515ED973" w:rsidR="003B181D" w:rsidRDefault="003B181D" w:rsidP="00F33615">
    <w:pPr>
      <w:pStyle w:val="Header"/>
      <w:jc w:val="right"/>
    </w:pPr>
    <w:r>
      <w:t>R</w:t>
    </w:r>
    <w:r w:rsidR="00CF3F98">
      <w:t>ev. 2-13</w:t>
    </w:r>
    <w:r>
      <w:t>-18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73D"/>
    <w:multiLevelType w:val="hybridMultilevel"/>
    <w:tmpl w:val="F18C2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9D3AE7"/>
    <w:multiLevelType w:val="hybridMultilevel"/>
    <w:tmpl w:val="6706ECCA"/>
    <w:lvl w:ilvl="0" w:tplc="F84288D2">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D47A4"/>
    <w:multiLevelType w:val="hybridMultilevel"/>
    <w:tmpl w:val="5A640C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4F51"/>
    <w:multiLevelType w:val="hybridMultilevel"/>
    <w:tmpl w:val="661C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421D7"/>
    <w:multiLevelType w:val="hybridMultilevel"/>
    <w:tmpl w:val="D28A9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C4F286C"/>
    <w:multiLevelType w:val="hybridMultilevel"/>
    <w:tmpl w:val="26F4A762"/>
    <w:lvl w:ilvl="0" w:tplc="61E89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31177"/>
    <w:multiLevelType w:val="hybridMultilevel"/>
    <w:tmpl w:val="661C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7142B"/>
    <w:multiLevelType w:val="hybridMultilevel"/>
    <w:tmpl w:val="C6A09F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47E2620"/>
    <w:multiLevelType w:val="hybridMultilevel"/>
    <w:tmpl w:val="8468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376FF"/>
    <w:multiLevelType w:val="hybridMultilevel"/>
    <w:tmpl w:val="EF6E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344FC"/>
    <w:multiLevelType w:val="hybridMultilevel"/>
    <w:tmpl w:val="8D4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527A6"/>
    <w:multiLevelType w:val="hybridMultilevel"/>
    <w:tmpl w:val="FEBABFA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570D8"/>
    <w:multiLevelType w:val="hybridMultilevel"/>
    <w:tmpl w:val="70222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84914"/>
    <w:multiLevelType w:val="multilevel"/>
    <w:tmpl w:val="7562B4B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lowerRoman"/>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nsid w:val="3B770314"/>
    <w:multiLevelType w:val="hybridMultilevel"/>
    <w:tmpl w:val="D95AD4E2"/>
    <w:lvl w:ilvl="0" w:tplc="231664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2841EB"/>
    <w:multiLevelType w:val="hybridMultilevel"/>
    <w:tmpl w:val="9E3E3D14"/>
    <w:lvl w:ilvl="0" w:tplc="88AEF40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4191D"/>
    <w:multiLevelType w:val="hybridMultilevel"/>
    <w:tmpl w:val="40A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E5E05"/>
    <w:multiLevelType w:val="hybridMultilevel"/>
    <w:tmpl w:val="598A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35EE7"/>
    <w:multiLevelType w:val="hybridMultilevel"/>
    <w:tmpl w:val="1FD207CC"/>
    <w:lvl w:ilvl="0" w:tplc="04090001">
      <w:start w:val="1"/>
      <w:numFmt w:val="bullet"/>
      <w:lvlText w:val=""/>
      <w:lvlJc w:val="left"/>
      <w:pPr>
        <w:ind w:left="792" w:hanging="360"/>
      </w:pPr>
      <w:rPr>
        <w:rFonts w:ascii="Symbol" w:hAnsi="Symbol" w:hint="default"/>
      </w:rPr>
    </w:lvl>
    <w:lvl w:ilvl="1" w:tplc="D9FAE1CA">
      <w:start w:val="1"/>
      <w:numFmt w:val="bullet"/>
      <w:lvlText w:val="o"/>
      <w:lvlJc w:val="left"/>
      <w:pPr>
        <w:ind w:left="1512" w:hanging="360"/>
      </w:pPr>
      <w:rPr>
        <w:rFonts w:ascii="Courier New" w:hAnsi="Courier New" w:cs="Courier New" w:hint="default"/>
        <w:color w:val="auto"/>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88010ED"/>
    <w:multiLevelType w:val="hybridMultilevel"/>
    <w:tmpl w:val="127A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348E6"/>
    <w:multiLevelType w:val="hybridMultilevel"/>
    <w:tmpl w:val="2DD6F2C0"/>
    <w:lvl w:ilvl="0" w:tplc="3A3A1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C087C"/>
    <w:multiLevelType w:val="hybridMultilevel"/>
    <w:tmpl w:val="DB40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A6BB9"/>
    <w:multiLevelType w:val="hybridMultilevel"/>
    <w:tmpl w:val="B3541304"/>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F3C43FA"/>
    <w:multiLevelType w:val="hybridMultilevel"/>
    <w:tmpl w:val="CAC0B4D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11F2764"/>
    <w:multiLevelType w:val="hybridMultilevel"/>
    <w:tmpl w:val="F76C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A3C89"/>
    <w:multiLevelType w:val="hybridMultilevel"/>
    <w:tmpl w:val="0F1C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6238B"/>
    <w:multiLevelType w:val="hybridMultilevel"/>
    <w:tmpl w:val="999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C590D"/>
    <w:multiLevelType w:val="hybridMultilevel"/>
    <w:tmpl w:val="133E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6606B3"/>
    <w:multiLevelType w:val="hybridMultilevel"/>
    <w:tmpl w:val="5AE2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10E39"/>
    <w:multiLevelType w:val="hybridMultilevel"/>
    <w:tmpl w:val="DC9E3908"/>
    <w:lvl w:ilvl="0" w:tplc="EAFC6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7206335"/>
    <w:multiLevelType w:val="hybridMultilevel"/>
    <w:tmpl w:val="75C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F50CE"/>
    <w:multiLevelType w:val="hybridMultilevel"/>
    <w:tmpl w:val="896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16"/>
  </w:num>
  <w:num w:numId="5">
    <w:abstractNumId w:val="17"/>
  </w:num>
  <w:num w:numId="6">
    <w:abstractNumId w:val="8"/>
  </w:num>
  <w:num w:numId="7">
    <w:abstractNumId w:val="18"/>
  </w:num>
  <w:num w:numId="8">
    <w:abstractNumId w:val="0"/>
  </w:num>
  <w:num w:numId="9">
    <w:abstractNumId w:val="14"/>
  </w:num>
  <w:num w:numId="10">
    <w:abstractNumId w:val="7"/>
  </w:num>
  <w:num w:numId="11">
    <w:abstractNumId w:val="4"/>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13"/>
  </w:num>
  <w:num w:numId="17">
    <w:abstractNumId w:val="6"/>
  </w:num>
  <w:num w:numId="18">
    <w:abstractNumId w:val="28"/>
  </w:num>
  <w:num w:numId="19">
    <w:abstractNumId w:val="23"/>
  </w:num>
  <w:num w:numId="20">
    <w:abstractNumId w:val="24"/>
  </w:num>
  <w:num w:numId="21">
    <w:abstractNumId w:val="12"/>
  </w:num>
  <w:num w:numId="22">
    <w:abstractNumId w:val="15"/>
  </w:num>
  <w:num w:numId="23">
    <w:abstractNumId w:val="21"/>
  </w:num>
  <w:num w:numId="24">
    <w:abstractNumId w:val="20"/>
  </w:num>
  <w:num w:numId="25">
    <w:abstractNumId w:val="27"/>
  </w:num>
  <w:num w:numId="26">
    <w:abstractNumId w:val="11"/>
  </w:num>
  <w:num w:numId="27">
    <w:abstractNumId w:val="2"/>
  </w:num>
  <w:num w:numId="28">
    <w:abstractNumId w:val="9"/>
  </w:num>
  <w:num w:numId="29">
    <w:abstractNumId w:val="31"/>
  </w:num>
  <w:num w:numId="30">
    <w:abstractNumId w:val="25"/>
  </w:num>
  <w:num w:numId="31">
    <w:abstractNumId w:val="30"/>
  </w:num>
  <w:num w:numId="32">
    <w:abstractNumId w:val="26"/>
  </w:num>
  <w:num w:numId="33">
    <w:abstractNumId w:val="10"/>
  </w:num>
  <w:num w:numId="3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Dwyer">
    <w15:presenceInfo w15:providerId="AD" w15:userId="S-1-5-21-861567501-492894223-725345543-7840"/>
  </w15:person>
  <w15:person w15:author="McCawley, Joseph M">
    <w15:presenceInfo w15:providerId="AD" w15:userId="S-1-5-21-1343024091-1078145449-682003330-292651"/>
  </w15:person>
  <w15:person w15:author="Kathryn Enright">
    <w15:presenceInfo w15:providerId="AD" w15:userId="S-1-5-21-2559334742-469970549-2024990295-11015"/>
  </w15:person>
  <w15:person w15:author="Chung, William">
    <w15:presenceInfo w15:providerId="AD" w15:userId="S-1-5-21-115761338-343289930-1325754085-136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55"/>
    <w:rsid w:val="00010E9F"/>
    <w:rsid w:val="00013591"/>
    <w:rsid w:val="00014A3D"/>
    <w:rsid w:val="00030D75"/>
    <w:rsid w:val="0003278C"/>
    <w:rsid w:val="00043188"/>
    <w:rsid w:val="00064B4D"/>
    <w:rsid w:val="00067316"/>
    <w:rsid w:val="0007112E"/>
    <w:rsid w:val="0007247B"/>
    <w:rsid w:val="00074998"/>
    <w:rsid w:val="0008254B"/>
    <w:rsid w:val="00091327"/>
    <w:rsid w:val="00095044"/>
    <w:rsid w:val="00095CDF"/>
    <w:rsid w:val="000A033E"/>
    <w:rsid w:val="000A6475"/>
    <w:rsid w:val="000A7F9F"/>
    <w:rsid w:val="000B2CF2"/>
    <w:rsid w:val="000B5208"/>
    <w:rsid w:val="000B6269"/>
    <w:rsid w:val="000C2793"/>
    <w:rsid w:val="000C51E1"/>
    <w:rsid w:val="000C7AC7"/>
    <w:rsid w:val="000D693E"/>
    <w:rsid w:val="000E2183"/>
    <w:rsid w:val="000E53AC"/>
    <w:rsid w:val="000E6E77"/>
    <w:rsid w:val="000F6A73"/>
    <w:rsid w:val="00106A4F"/>
    <w:rsid w:val="001219A9"/>
    <w:rsid w:val="001250C0"/>
    <w:rsid w:val="00136A56"/>
    <w:rsid w:val="00137A0E"/>
    <w:rsid w:val="0014086F"/>
    <w:rsid w:val="0014115C"/>
    <w:rsid w:val="001418A0"/>
    <w:rsid w:val="00147D91"/>
    <w:rsid w:val="00155A3F"/>
    <w:rsid w:val="00160099"/>
    <w:rsid w:val="001660A7"/>
    <w:rsid w:val="001721E7"/>
    <w:rsid w:val="0017744C"/>
    <w:rsid w:val="00180BCC"/>
    <w:rsid w:val="00181045"/>
    <w:rsid w:val="00181EBD"/>
    <w:rsid w:val="00186387"/>
    <w:rsid w:val="0019442C"/>
    <w:rsid w:val="00196E79"/>
    <w:rsid w:val="001B2786"/>
    <w:rsid w:val="001B472A"/>
    <w:rsid w:val="001C04D7"/>
    <w:rsid w:val="001D0E5F"/>
    <w:rsid w:val="001D5394"/>
    <w:rsid w:val="001D5936"/>
    <w:rsid w:val="001E341F"/>
    <w:rsid w:val="001F3AB5"/>
    <w:rsid w:val="001F3F6C"/>
    <w:rsid w:val="001F603B"/>
    <w:rsid w:val="00203105"/>
    <w:rsid w:val="00204D44"/>
    <w:rsid w:val="00220245"/>
    <w:rsid w:val="00231C99"/>
    <w:rsid w:val="0023229E"/>
    <w:rsid w:val="0023237C"/>
    <w:rsid w:val="00261C82"/>
    <w:rsid w:val="00261EC0"/>
    <w:rsid w:val="00264B9D"/>
    <w:rsid w:val="0027012D"/>
    <w:rsid w:val="00275B60"/>
    <w:rsid w:val="00277BFA"/>
    <w:rsid w:val="00281539"/>
    <w:rsid w:val="002928BC"/>
    <w:rsid w:val="00295F32"/>
    <w:rsid w:val="002B107C"/>
    <w:rsid w:val="002C7E39"/>
    <w:rsid w:val="002D15B0"/>
    <w:rsid w:val="002D6574"/>
    <w:rsid w:val="002D7425"/>
    <w:rsid w:val="002F06FC"/>
    <w:rsid w:val="002F13EB"/>
    <w:rsid w:val="002F2581"/>
    <w:rsid w:val="002F2B2E"/>
    <w:rsid w:val="002F569C"/>
    <w:rsid w:val="002F5EE8"/>
    <w:rsid w:val="002F602A"/>
    <w:rsid w:val="002F7889"/>
    <w:rsid w:val="0030337A"/>
    <w:rsid w:val="003120A9"/>
    <w:rsid w:val="0031601B"/>
    <w:rsid w:val="00326199"/>
    <w:rsid w:val="003268DC"/>
    <w:rsid w:val="003410D0"/>
    <w:rsid w:val="00346873"/>
    <w:rsid w:val="00352EEB"/>
    <w:rsid w:val="00355C17"/>
    <w:rsid w:val="00356DDD"/>
    <w:rsid w:val="00357D69"/>
    <w:rsid w:val="003649CD"/>
    <w:rsid w:val="0036501E"/>
    <w:rsid w:val="003703E7"/>
    <w:rsid w:val="00377D42"/>
    <w:rsid w:val="003863DE"/>
    <w:rsid w:val="003905F4"/>
    <w:rsid w:val="003959DF"/>
    <w:rsid w:val="00397704"/>
    <w:rsid w:val="003979BE"/>
    <w:rsid w:val="003B181D"/>
    <w:rsid w:val="003C2378"/>
    <w:rsid w:val="003C2A9D"/>
    <w:rsid w:val="003C3083"/>
    <w:rsid w:val="003C3755"/>
    <w:rsid w:val="003C6514"/>
    <w:rsid w:val="003D2734"/>
    <w:rsid w:val="003E0174"/>
    <w:rsid w:val="003E2956"/>
    <w:rsid w:val="003E3363"/>
    <w:rsid w:val="003E41FB"/>
    <w:rsid w:val="003E489E"/>
    <w:rsid w:val="003F0710"/>
    <w:rsid w:val="004045A0"/>
    <w:rsid w:val="00410E8F"/>
    <w:rsid w:val="00416CFF"/>
    <w:rsid w:val="004170C7"/>
    <w:rsid w:val="004173AD"/>
    <w:rsid w:val="004224BC"/>
    <w:rsid w:val="00422CD5"/>
    <w:rsid w:val="00426639"/>
    <w:rsid w:val="00431BF7"/>
    <w:rsid w:val="00431E77"/>
    <w:rsid w:val="00437F8E"/>
    <w:rsid w:val="004443FA"/>
    <w:rsid w:val="0044542C"/>
    <w:rsid w:val="00445BB7"/>
    <w:rsid w:val="0045190A"/>
    <w:rsid w:val="00451D00"/>
    <w:rsid w:val="00452F38"/>
    <w:rsid w:val="00463126"/>
    <w:rsid w:val="00465C55"/>
    <w:rsid w:val="00474F90"/>
    <w:rsid w:val="00482851"/>
    <w:rsid w:val="004851ED"/>
    <w:rsid w:val="004870FE"/>
    <w:rsid w:val="004921AF"/>
    <w:rsid w:val="004976A7"/>
    <w:rsid w:val="004A10A7"/>
    <w:rsid w:val="004A584E"/>
    <w:rsid w:val="004B3460"/>
    <w:rsid w:val="004B59D2"/>
    <w:rsid w:val="004B6CD1"/>
    <w:rsid w:val="004C5F67"/>
    <w:rsid w:val="004D5D47"/>
    <w:rsid w:val="004D7733"/>
    <w:rsid w:val="004D7974"/>
    <w:rsid w:val="004E0B13"/>
    <w:rsid w:val="00502B15"/>
    <w:rsid w:val="00504305"/>
    <w:rsid w:val="00510403"/>
    <w:rsid w:val="005206C3"/>
    <w:rsid w:val="00531FF8"/>
    <w:rsid w:val="0053259B"/>
    <w:rsid w:val="00533ECE"/>
    <w:rsid w:val="005350FA"/>
    <w:rsid w:val="005415EE"/>
    <w:rsid w:val="00544B0B"/>
    <w:rsid w:val="00544DCE"/>
    <w:rsid w:val="005471DD"/>
    <w:rsid w:val="0054776C"/>
    <w:rsid w:val="00553D7C"/>
    <w:rsid w:val="00554BE3"/>
    <w:rsid w:val="005571B9"/>
    <w:rsid w:val="005715BE"/>
    <w:rsid w:val="00572D9A"/>
    <w:rsid w:val="00591AD1"/>
    <w:rsid w:val="00597E64"/>
    <w:rsid w:val="005A37DC"/>
    <w:rsid w:val="005B0071"/>
    <w:rsid w:val="005B230B"/>
    <w:rsid w:val="005B4A86"/>
    <w:rsid w:val="005B76BF"/>
    <w:rsid w:val="005C0AD6"/>
    <w:rsid w:val="005C62AB"/>
    <w:rsid w:val="005D0F91"/>
    <w:rsid w:val="005D215A"/>
    <w:rsid w:val="005D2264"/>
    <w:rsid w:val="005D6045"/>
    <w:rsid w:val="005D7EAF"/>
    <w:rsid w:val="005E3A70"/>
    <w:rsid w:val="005E7F41"/>
    <w:rsid w:val="005F107D"/>
    <w:rsid w:val="005F536F"/>
    <w:rsid w:val="00604891"/>
    <w:rsid w:val="00612AF5"/>
    <w:rsid w:val="0061478A"/>
    <w:rsid w:val="0063161E"/>
    <w:rsid w:val="0064460A"/>
    <w:rsid w:val="006471D4"/>
    <w:rsid w:val="006508D6"/>
    <w:rsid w:val="0065119D"/>
    <w:rsid w:val="00652F25"/>
    <w:rsid w:val="00661785"/>
    <w:rsid w:val="006624C0"/>
    <w:rsid w:val="00662C17"/>
    <w:rsid w:val="0066721E"/>
    <w:rsid w:val="00677773"/>
    <w:rsid w:val="00677E2E"/>
    <w:rsid w:val="006804B4"/>
    <w:rsid w:val="00692E19"/>
    <w:rsid w:val="00694A9E"/>
    <w:rsid w:val="00697533"/>
    <w:rsid w:val="006A3152"/>
    <w:rsid w:val="006A5B1E"/>
    <w:rsid w:val="006A7C88"/>
    <w:rsid w:val="006B2651"/>
    <w:rsid w:val="006B318A"/>
    <w:rsid w:val="006B7B86"/>
    <w:rsid w:val="006C34B2"/>
    <w:rsid w:val="006D2989"/>
    <w:rsid w:val="006E2838"/>
    <w:rsid w:val="006E28B6"/>
    <w:rsid w:val="006E39B3"/>
    <w:rsid w:val="006E54B3"/>
    <w:rsid w:val="006F159C"/>
    <w:rsid w:val="006F6F4A"/>
    <w:rsid w:val="0070230B"/>
    <w:rsid w:val="0071294D"/>
    <w:rsid w:val="00715F24"/>
    <w:rsid w:val="00716222"/>
    <w:rsid w:val="0072295E"/>
    <w:rsid w:val="00731A9B"/>
    <w:rsid w:val="00731FE4"/>
    <w:rsid w:val="007330E5"/>
    <w:rsid w:val="00744F98"/>
    <w:rsid w:val="00745762"/>
    <w:rsid w:val="00750518"/>
    <w:rsid w:val="0075546F"/>
    <w:rsid w:val="007615CB"/>
    <w:rsid w:val="00766469"/>
    <w:rsid w:val="00771663"/>
    <w:rsid w:val="0077179B"/>
    <w:rsid w:val="0077198E"/>
    <w:rsid w:val="00772954"/>
    <w:rsid w:val="00776E8A"/>
    <w:rsid w:val="00777814"/>
    <w:rsid w:val="00780F78"/>
    <w:rsid w:val="00783D52"/>
    <w:rsid w:val="00784826"/>
    <w:rsid w:val="0078774E"/>
    <w:rsid w:val="007905FA"/>
    <w:rsid w:val="00792615"/>
    <w:rsid w:val="007935DF"/>
    <w:rsid w:val="007A6BB2"/>
    <w:rsid w:val="007B05D5"/>
    <w:rsid w:val="007B39E0"/>
    <w:rsid w:val="007B4389"/>
    <w:rsid w:val="007B46F6"/>
    <w:rsid w:val="007B5012"/>
    <w:rsid w:val="007B7EDB"/>
    <w:rsid w:val="007D26DD"/>
    <w:rsid w:val="007D4028"/>
    <w:rsid w:val="007F23B7"/>
    <w:rsid w:val="007F5979"/>
    <w:rsid w:val="007F6955"/>
    <w:rsid w:val="008000A1"/>
    <w:rsid w:val="0080180E"/>
    <w:rsid w:val="00804BA4"/>
    <w:rsid w:val="008159AA"/>
    <w:rsid w:val="0082160F"/>
    <w:rsid w:val="00825ACE"/>
    <w:rsid w:val="0082670A"/>
    <w:rsid w:val="0084030C"/>
    <w:rsid w:val="00840966"/>
    <w:rsid w:val="00842C22"/>
    <w:rsid w:val="00855B4B"/>
    <w:rsid w:val="008562BE"/>
    <w:rsid w:val="0086710D"/>
    <w:rsid w:val="00875CC4"/>
    <w:rsid w:val="00876D15"/>
    <w:rsid w:val="00883287"/>
    <w:rsid w:val="00887132"/>
    <w:rsid w:val="008A194D"/>
    <w:rsid w:val="008B4531"/>
    <w:rsid w:val="008D18A5"/>
    <w:rsid w:val="008D3E91"/>
    <w:rsid w:val="008D65EB"/>
    <w:rsid w:val="008F29AB"/>
    <w:rsid w:val="008F44B7"/>
    <w:rsid w:val="008F7651"/>
    <w:rsid w:val="009029F9"/>
    <w:rsid w:val="00904041"/>
    <w:rsid w:val="009045D2"/>
    <w:rsid w:val="009171F6"/>
    <w:rsid w:val="00926138"/>
    <w:rsid w:val="009316AB"/>
    <w:rsid w:val="009343BA"/>
    <w:rsid w:val="009378E7"/>
    <w:rsid w:val="0094102E"/>
    <w:rsid w:val="00943EC5"/>
    <w:rsid w:val="00944852"/>
    <w:rsid w:val="00952C99"/>
    <w:rsid w:val="00953921"/>
    <w:rsid w:val="00961958"/>
    <w:rsid w:val="00961BF4"/>
    <w:rsid w:val="0096296D"/>
    <w:rsid w:val="009673A1"/>
    <w:rsid w:val="0096794D"/>
    <w:rsid w:val="00977584"/>
    <w:rsid w:val="00987CA5"/>
    <w:rsid w:val="00992B0D"/>
    <w:rsid w:val="00993718"/>
    <w:rsid w:val="0099424D"/>
    <w:rsid w:val="009A3264"/>
    <w:rsid w:val="009A346D"/>
    <w:rsid w:val="009A7211"/>
    <w:rsid w:val="009B4E67"/>
    <w:rsid w:val="009B5C23"/>
    <w:rsid w:val="009C1484"/>
    <w:rsid w:val="009E06B9"/>
    <w:rsid w:val="009F48D7"/>
    <w:rsid w:val="00A01173"/>
    <w:rsid w:val="00A05FB0"/>
    <w:rsid w:val="00A1268D"/>
    <w:rsid w:val="00A137F2"/>
    <w:rsid w:val="00A13BEA"/>
    <w:rsid w:val="00A1680A"/>
    <w:rsid w:val="00A24BF0"/>
    <w:rsid w:val="00A273FD"/>
    <w:rsid w:val="00A30548"/>
    <w:rsid w:val="00A32842"/>
    <w:rsid w:val="00A32A7C"/>
    <w:rsid w:val="00A419B7"/>
    <w:rsid w:val="00A43BE7"/>
    <w:rsid w:val="00A4462B"/>
    <w:rsid w:val="00A45988"/>
    <w:rsid w:val="00A56552"/>
    <w:rsid w:val="00A60936"/>
    <w:rsid w:val="00A64E4C"/>
    <w:rsid w:val="00A74447"/>
    <w:rsid w:val="00A74C34"/>
    <w:rsid w:val="00A758EB"/>
    <w:rsid w:val="00A821FB"/>
    <w:rsid w:val="00A82527"/>
    <w:rsid w:val="00A8275F"/>
    <w:rsid w:val="00A96AC5"/>
    <w:rsid w:val="00AA1CC7"/>
    <w:rsid w:val="00AB3282"/>
    <w:rsid w:val="00AB7DF5"/>
    <w:rsid w:val="00AC3CFD"/>
    <w:rsid w:val="00AD3C9A"/>
    <w:rsid w:val="00AE5651"/>
    <w:rsid w:val="00AF127E"/>
    <w:rsid w:val="00AF220C"/>
    <w:rsid w:val="00B03DD9"/>
    <w:rsid w:val="00B132CD"/>
    <w:rsid w:val="00B13BDB"/>
    <w:rsid w:val="00B14ED7"/>
    <w:rsid w:val="00B24AA9"/>
    <w:rsid w:val="00B27754"/>
    <w:rsid w:val="00B35B19"/>
    <w:rsid w:val="00B40705"/>
    <w:rsid w:val="00B540B0"/>
    <w:rsid w:val="00B72C27"/>
    <w:rsid w:val="00B80D49"/>
    <w:rsid w:val="00B81164"/>
    <w:rsid w:val="00B85C19"/>
    <w:rsid w:val="00B906B1"/>
    <w:rsid w:val="00BA37A1"/>
    <w:rsid w:val="00BA3BD8"/>
    <w:rsid w:val="00BA47EE"/>
    <w:rsid w:val="00BA4B98"/>
    <w:rsid w:val="00BA72B4"/>
    <w:rsid w:val="00BB0159"/>
    <w:rsid w:val="00BB1376"/>
    <w:rsid w:val="00BB1CD4"/>
    <w:rsid w:val="00BB62F8"/>
    <w:rsid w:val="00BB6BCB"/>
    <w:rsid w:val="00BC4193"/>
    <w:rsid w:val="00BC6DA3"/>
    <w:rsid w:val="00BE0C44"/>
    <w:rsid w:val="00BE315B"/>
    <w:rsid w:val="00BF3186"/>
    <w:rsid w:val="00BF3343"/>
    <w:rsid w:val="00BF3B52"/>
    <w:rsid w:val="00C06B76"/>
    <w:rsid w:val="00C07F91"/>
    <w:rsid w:val="00C2537C"/>
    <w:rsid w:val="00C2562B"/>
    <w:rsid w:val="00C27619"/>
    <w:rsid w:val="00C328C7"/>
    <w:rsid w:val="00C33B1C"/>
    <w:rsid w:val="00C37E63"/>
    <w:rsid w:val="00C40AD7"/>
    <w:rsid w:val="00C40E9B"/>
    <w:rsid w:val="00C4419E"/>
    <w:rsid w:val="00C50DD2"/>
    <w:rsid w:val="00C51F2E"/>
    <w:rsid w:val="00C525D5"/>
    <w:rsid w:val="00C56FDF"/>
    <w:rsid w:val="00C724DD"/>
    <w:rsid w:val="00C73241"/>
    <w:rsid w:val="00C73492"/>
    <w:rsid w:val="00C80301"/>
    <w:rsid w:val="00C8571C"/>
    <w:rsid w:val="00C85D17"/>
    <w:rsid w:val="00C97EE6"/>
    <w:rsid w:val="00CA11E4"/>
    <w:rsid w:val="00CA31ED"/>
    <w:rsid w:val="00CA48F6"/>
    <w:rsid w:val="00CB296B"/>
    <w:rsid w:val="00CB5C15"/>
    <w:rsid w:val="00CC15DB"/>
    <w:rsid w:val="00CC2DE8"/>
    <w:rsid w:val="00CC7D24"/>
    <w:rsid w:val="00CE0213"/>
    <w:rsid w:val="00CE7B98"/>
    <w:rsid w:val="00CF2486"/>
    <w:rsid w:val="00CF259B"/>
    <w:rsid w:val="00CF3F98"/>
    <w:rsid w:val="00CF421A"/>
    <w:rsid w:val="00CF5892"/>
    <w:rsid w:val="00CF7E7B"/>
    <w:rsid w:val="00D01A7B"/>
    <w:rsid w:val="00D02127"/>
    <w:rsid w:val="00D22422"/>
    <w:rsid w:val="00D30BB1"/>
    <w:rsid w:val="00D32DC4"/>
    <w:rsid w:val="00D365E3"/>
    <w:rsid w:val="00D417F8"/>
    <w:rsid w:val="00D42AA8"/>
    <w:rsid w:val="00D43DE0"/>
    <w:rsid w:val="00D440D4"/>
    <w:rsid w:val="00D4789B"/>
    <w:rsid w:val="00D5083C"/>
    <w:rsid w:val="00D56199"/>
    <w:rsid w:val="00D632C4"/>
    <w:rsid w:val="00D64B47"/>
    <w:rsid w:val="00D72751"/>
    <w:rsid w:val="00D73943"/>
    <w:rsid w:val="00D835A8"/>
    <w:rsid w:val="00D86F9B"/>
    <w:rsid w:val="00D9282D"/>
    <w:rsid w:val="00D93FB2"/>
    <w:rsid w:val="00D95275"/>
    <w:rsid w:val="00DA07D2"/>
    <w:rsid w:val="00DA13CA"/>
    <w:rsid w:val="00DA6197"/>
    <w:rsid w:val="00DA774B"/>
    <w:rsid w:val="00DB76DC"/>
    <w:rsid w:val="00DB7D57"/>
    <w:rsid w:val="00DC084D"/>
    <w:rsid w:val="00DC209D"/>
    <w:rsid w:val="00DC6435"/>
    <w:rsid w:val="00DD0B6C"/>
    <w:rsid w:val="00DD749F"/>
    <w:rsid w:val="00DD7E3E"/>
    <w:rsid w:val="00E01313"/>
    <w:rsid w:val="00E01CFA"/>
    <w:rsid w:val="00E05D78"/>
    <w:rsid w:val="00E10F85"/>
    <w:rsid w:val="00E22F84"/>
    <w:rsid w:val="00E245B0"/>
    <w:rsid w:val="00E309F2"/>
    <w:rsid w:val="00E32FF9"/>
    <w:rsid w:val="00E365D4"/>
    <w:rsid w:val="00E46533"/>
    <w:rsid w:val="00E46988"/>
    <w:rsid w:val="00E509F8"/>
    <w:rsid w:val="00E5492E"/>
    <w:rsid w:val="00E61F71"/>
    <w:rsid w:val="00E6222F"/>
    <w:rsid w:val="00E638E7"/>
    <w:rsid w:val="00E67DFA"/>
    <w:rsid w:val="00E71D39"/>
    <w:rsid w:val="00E741C4"/>
    <w:rsid w:val="00E75984"/>
    <w:rsid w:val="00E77448"/>
    <w:rsid w:val="00EA7F98"/>
    <w:rsid w:val="00EB51AF"/>
    <w:rsid w:val="00EC22B4"/>
    <w:rsid w:val="00EC2470"/>
    <w:rsid w:val="00EC72EA"/>
    <w:rsid w:val="00ED1252"/>
    <w:rsid w:val="00ED1719"/>
    <w:rsid w:val="00ED389C"/>
    <w:rsid w:val="00EF2B29"/>
    <w:rsid w:val="00EF7AB8"/>
    <w:rsid w:val="00F00F7E"/>
    <w:rsid w:val="00F027B5"/>
    <w:rsid w:val="00F063D9"/>
    <w:rsid w:val="00F16BE6"/>
    <w:rsid w:val="00F16C28"/>
    <w:rsid w:val="00F25F4D"/>
    <w:rsid w:val="00F33615"/>
    <w:rsid w:val="00F35E78"/>
    <w:rsid w:val="00F37E5A"/>
    <w:rsid w:val="00F41F97"/>
    <w:rsid w:val="00F423A6"/>
    <w:rsid w:val="00F436B5"/>
    <w:rsid w:val="00F44844"/>
    <w:rsid w:val="00F50E9D"/>
    <w:rsid w:val="00F77EE6"/>
    <w:rsid w:val="00F83770"/>
    <w:rsid w:val="00F84CFB"/>
    <w:rsid w:val="00F86C1C"/>
    <w:rsid w:val="00F92A86"/>
    <w:rsid w:val="00F96506"/>
    <w:rsid w:val="00FA01D5"/>
    <w:rsid w:val="00FA01DD"/>
    <w:rsid w:val="00FA0B52"/>
    <w:rsid w:val="00FA0FCF"/>
    <w:rsid w:val="00FA286F"/>
    <w:rsid w:val="00FA2FDE"/>
    <w:rsid w:val="00FA5B99"/>
    <w:rsid w:val="00FA61B8"/>
    <w:rsid w:val="00FD1691"/>
    <w:rsid w:val="00FD6316"/>
    <w:rsid w:val="00FE1A09"/>
    <w:rsid w:val="00FF69F2"/>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F8"/>
  </w:style>
  <w:style w:type="paragraph" w:styleId="Heading1">
    <w:name w:val="heading 1"/>
    <w:basedOn w:val="Normal"/>
    <w:next w:val="Normal"/>
    <w:link w:val="Heading1Char"/>
    <w:qFormat/>
    <w:rsid w:val="009673A1"/>
    <w:pPr>
      <w:keepNext/>
      <w:numPr>
        <w:numId w:val="16"/>
      </w:numPr>
      <w:spacing w:before="240" w:after="120"/>
      <w:outlineLvl w:val="0"/>
    </w:pPr>
    <w:rPr>
      <w:rFonts w:ascii="Book Antiqua" w:eastAsia="Times" w:hAnsi="Book Antiqua" w:cs="Times New Roman"/>
      <w:b/>
      <w:bCs/>
      <w:smallCaps/>
    </w:rPr>
  </w:style>
  <w:style w:type="paragraph" w:styleId="Heading2">
    <w:name w:val="heading 2"/>
    <w:basedOn w:val="Normal"/>
    <w:next w:val="Normal"/>
    <w:link w:val="Heading2Char"/>
    <w:uiPriority w:val="9"/>
    <w:unhideWhenUsed/>
    <w:qFormat/>
    <w:rsid w:val="009673A1"/>
    <w:pPr>
      <w:keepNext/>
      <w:keepLines/>
      <w:numPr>
        <w:ilvl w:val="1"/>
        <w:numId w:val="16"/>
      </w:numPr>
      <w:spacing w:before="240" w:after="120"/>
      <w:outlineLvl w:val="1"/>
    </w:pPr>
    <w:rPr>
      <w:rFonts w:ascii="Times New Roman" w:eastAsiaTheme="majorEastAsia" w:hAnsi="Times New Roman" w:cstheme="majorBidi"/>
      <w:bCs/>
      <w:i/>
      <w:color w:val="000000" w:themeColor="text1"/>
      <w:szCs w:val="26"/>
    </w:rPr>
  </w:style>
  <w:style w:type="paragraph" w:styleId="Heading3">
    <w:name w:val="heading 3"/>
    <w:basedOn w:val="Heading2"/>
    <w:next w:val="Normal"/>
    <w:link w:val="Heading3Char"/>
    <w:uiPriority w:val="9"/>
    <w:unhideWhenUsed/>
    <w:qFormat/>
    <w:rsid w:val="009673A1"/>
    <w:pPr>
      <w:numPr>
        <w:ilvl w:val="2"/>
      </w:numPr>
      <w:outlineLvl w:val="2"/>
    </w:pPr>
    <w:rPr>
      <w:bCs w:val="0"/>
    </w:rPr>
  </w:style>
  <w:style w:type="paragraph" w:styleId="Heading4">
    <w:name w:val="heading 4"/>
    <w:basedOn w:val="Normal"/>
    <w:next w:val="Normal"/>
    <w:link w:val="Heading4Char"/>
    <w:uiPriority w:val="9"/>
    <w:unhideWhenUsed/>
    <w:qFormat/>
    <w:rsid w:val="009673A1"/>
    <w:pPr>
      <w:keepNext/>
      <w:keepLines/>
      <w:numPr>
        <w:ilvl w:val="3"/>
        <w:numId w:val="16"/>
      </w:numPr>
      <w:spacing w:before="240" w:after="120"/>
      <w:outlineLvl w:val="3"/>
    </w:pPr>
    <w:rPr>
      <w:rFonts w:ascii="Times New Roman" w:eastAsiaTheme="majorEastAsia" w:hAnsi="Times New Roman" w:cstheme="majorBidi"/>
      <w:bCs/>
      <w:i/>
      <w:iCs/>
    </w:rPr>
  </w:style>
  <w:style w:type="paragraph" w:styleId="Heading5">
    <w:name w:val="heading 5"/>
    <w:basedOn w:val="Normal"/>
    <w:next w:val="Normal"/>
    <w:link w:val="Heading5Char"/>
    <w:uiPriority w:val="9"/>
    <w:unhideWhenUsed/>
    <w:qFormat/>
    <w:rsid w:val="009673A1"/>
    <w:pPr>
      <w:keepNext/>
      <w:keepLines/>
      <w:numPr>
        <w:ilvl w:val="4"/>
        <w:numId w:val="16"/>
      </w:numPr>
      <w:spacing w:before="240" w:after="120"/>
      <w:outlineLvl w:val="4"/>
    </w:pPr>
    <w:rPr>
      <w:rFonts w:ascii="Times New Roman" w:eastAsiaTheme="majorEastAsia" w:hAnsi="Times New Roman" w:cstheme="majorBidi"/>
      <w:i/>
    </w:rPr>
  </w:style>
  <w:style w:type="paragraph" w:styleId="Heading6">
    <w:name w:val="heading 6"/>
    <w:basedOn w:val="Normal"/>
    <w:next w:val="Normal"/>
    <w:link w:val="Heading6Char"/>
    <w:uiPriority w:val="9"/>
    <w:semiHidden/>
    <w:unhideWhenUsed/>
    <w:qFormat/>
    <w:rsid w:val="009673A1"/>
    <w:pPr>
      <w:keepNext/>
      <w:keepLines/>
      <w:numPr>
        <w:ilvl w:val="5"/>
        <w:numId w:val="16"/>
      </w:numPr>
      <w:spacing w:before="200" w:line="36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73A1"/>
    <w:pPr>
      <w:keepNext/>
      <w:keepLines/>
      <w:numPr>
        <w:ilvl w:val="6"/>
        <w:numId w:val="16"/>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73A1"/>
    <w:pPr>
      <w:keepNext/>
      <w:keepLines/>
      <w:numPr>
        <w:ilvl w:val="7"/>
        <w:numId w:val="16"/>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73A1"/>
    <w:pPr>
      <w:keepNext/>
      <w:keepLines/>
      <w:numPr>
        <w:ilvl w:val="8"/>
        <w:numId w:val="16"/>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3755"/>
    <w:pPr>
      <w:ind w:left="720"/>
      <w:contextualSpacing/>
    </w:pPr>
  </w:style>
  <w:style w:type="character" w:styleId="CommentReference">
    <w:name w:val="annotation reference"/>
    <w:basedOn w:val="DefaultParagraphFont"/>
    <w:uiPriority w:val="99"/>
    <w:semiHidden/>
    <w:unhideWhenUsed/>
    <w:rsid w:val="002F602A"/>
    <w:rPr>
      <w:sz w:val="18"/>
      <w:szCs w:val="18"/>
    </w:rPr>
  </w:style>
  <w:style w:type="paragraph" w:styleId="CommentText">
    <w:name w:val="annotation text"/>
    <w:basedOn w:val="Normal"/>
    <w:link w:val="CommentTextChar"/>
    <w:uiPriority w:val="99"/>
    <w:semiHidden/>
    <w:unhideWhenUsed/>
    <w:rsid w:val="002F602A"/>
  </w:style>
  <w:style w:type="character" w:customStyle="1" w:styleId="CommentTextChar">
    <w:name w:val="Comment Text Char"/>
    <w:basedOn w:val="DefaultParagraphFont"/>
    <w:link w:val="CommentText"/>
    <w:uiPriority w:val="99"/>
    <w:semiHidden/>
    <w:rsid w:val="002F602A"/>
  </w:style>
  <w:style w:type="paragraph" w:styleId="CommentSubject">
    <w:name w:val="annotation subject"/>
    <w:basedOn w:val="CommentText"/>
    <w:next w:val="CommentText"/>
    <w:link w:val="CommentSubjectChar"/>
    <w:uiPriority w:val="99"/>
    <w:semiHidden/>
    <w:unhideWhenUsed/>
    <w:rsid w:val="002F602A"/>
    <w:rPr>
      <w:b/>
      <w:bCs/>
      <w:sz w:val="20"/>
      <w:szCs w:val="20"/>
    </w:rPr>
  </w:style>
  <w:style w:type="character" w:customStyle="1" w:styleId="CommentSubjectChar">
    <w:name w:val="Comment Subject Char"/>
    <w:basedOn w:val="CommentTextChar"/>
    <w:link w:val="CommentSubject"/>
    <w:uiPriority w:val="99"/>
    <w:semiHidden/>
    <w:rsid w:val="002F602A"/>
    <w:rPr>
      <w:b/>
      <w:bCs/>
      <w:sz w:val="20"/>
      <w:szCs w:val="20"/>
    </w:rPr>
  </w:style>
  <w:style w:type="paragraph" w:styleId="BalloonText">
    <w:name w:val="Balloon Text"/>
    <w:basedOn w:val="Normal"/>
    <w:link w:val="BalloonTextChar"/>
    <w:uiPriority w:val="99"/>
    <w:semiHidden/>
    <w:unhideWhenUsed/>
    <w:rsid w:val="002F60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02A"/>
    <w:rPr>
      <w:rFonts w:ascii="Times New Roman" w:hAnsi="Times New Roman" w:cs="Times New Roman"/>
      <w:sz w:val="18"/>
      <w:szCs w:val="18"/>
    </w:rPr>
  </w:style>
  <w:style w:type="paragraph" w:styleId="FootnoteText">
    <w:name w:val="footnote text"/>
    <w:basedOn w:val="Normal"/>
    <w:link w:val="FootnoteTextChar"/>
    <w:uiPriority w:val="99"/>
    <w:unhideWhenUsed/>
    <w:rsid w:val="005350FA"/>
  </w:style>
  <w:style w:type="character" w:customStyle="1" w:styleId="FootnoteTextChar">
    <w:name w:val="Footnote Text Char"/>
    <w:basedOn w:val="DefaultParagraphFont"/>
    <w:link w:val="FootnoteText"/>
    <w:uiPriority w:val="99"/>
    <w:rsid w:val="005350FA"/>
  </w:style>
  <w:style w:type="character" w:styleId="Hyperlink">
    <w:name w:val="Hyperlink"/>
    <w:basedOn w:val="DefaultParagraphFont"/>
    <w:uiPriority w:val="99"/>
    <w:unhideWhenUsed/>
    <w:rsid w:val="005350FA"/>
    <w:rPr>
      <w:color w:val="0563C1"/>
      <w:u w:val="single"/>
    </w:rPr>
  </w:style>
  <w:style w:type="character" w:styleId="FootnoteReference">
    <w:name w:val="footnote reference"/>
    <w:basedOn w:val="DefaultParagraphFont"/>
    <w:uiPriority w:val="99"/>
    <w:unhideWhenUsed/>
    <w:rsid w:val="005350FA"/>
    <w:rPr>
      <w:vertAlign w:val="superscript"/>
    </w:rPr>
  </w:style>
  <w:style w:type="paragraph" w:styleId="Header">
    <w:name w:val="header"/>
    <w:basedOn w:val="Normal"/>
    <w:link w:val="HeaderChar"/>
    <w:uiPriority w:val="99"/>
    <w:unhideWhenUsed/>
    <w:rsid w:val="00977584"/>
    <w:pPr>
      <w:tabs>
        <w:tab w:val="center" w:pos="4680"/>
        <w:tab w:val="right" w:pos="9360"/>
      </w:tabs>
    </w:pPr>
  </w:style>
  <w:style w:type="character" w:customStyle="1" w:styleId="HeaderChar">
    <w:name w:val="Header Char"/>
    <w:basedOn w:val="DefaultParagraphFont"/>
    <w:link w:val="Header"/>
    <w:uiPriority w:val="99"/>
    <w:rsid w:val="00977584"/>
  </w:style>
  <w:style w:type="paragraph" w:styleId="Footer">
    <w:name w:val="footer"/>
    <w:basedOn w:val="Normal"/>
    <w:link w:val="FooterChar"/>
    <w:uiPriority w:val="99"/>
    <w:unhideWhenUsed/>
    <w:rsid w:val="00977584"/>
    <w:pPr>
      <w:tabs>
        <w:tab w:val="center" w:pos="4680"/>
        <w:tab w:val="right" w:pos="9360"/>
      </w:tabs>
    </w:pPr>
  </w:style>
  <w:style w:type="character" w:customStyle="1" w:styleId="FooterChar">
    <w:name w:val="Footer Char"/>
    <w:basedOn w:val="DefaultParagraphFont"/>
    <w:link w:val="Footer"/>
    <w:uiPriority w:val="99"/>
    <w:rsid w:val="00977584"/>
  </w:style>
  <w:style w:type="paragraph" w:styleId="Revision">
    <w:name w:val="Revision"/>
    <w:hidden/>
    <w:uiPriority w:val="99"/>
    <w:semiHidden/>
    <w:rsid w:val="00A74C34"/>
  </w:style>
  <w:style w:type="paragraph" w:styleId="Caption">
    <w:name w:val="caption"/>
    <w:basedOn w:val="Normal"/>
    <w:next w:val="Normal"/>
    <w:uiPriority w:val="35"/>
    <w:unhideWhenUsed/>
    <w:qFormat/>
    <w:rsid w:val="005B0071"/>
    <w:pPr>
      <w:spacing w:after="200"/>
    </w:pPr>
    <w:rPr>
      <w:rFonts w:ascii="Calibri" w:hAnsi="Calibri" w:cs="Times New Roman"/>
      <w:i/>
      <w:iCs/>
      <w:color w:val="44546A" w:themeColor="text2"/>
      <w:sz w:val="18"/>
      <w:szCs w:val="18"/>
    </w:rPr>
  </w:style>
  <w:style w:type="paragraph" w:styleId="DocumentMap">
    <w:name w:val="Document Map"/>
    <w:basedOn w:val="Normal"/>
    <w:link w:val="DocumentMapChar"/>
    <w:uiPriority w:val="99"/>
    <w:semiHidden/>
    <w:unhideWhenUsed/>
    <w:rsid w:val="00C4419E"/>
    <w:rPr>
      <w:rFonts w:ascii="Times New Roman" w:hAnsi="Times New Roman" w:cs="Times New Roman"/>
    </w:rPr>
  </w:style>
  <w:style w:type="character" w:customStyle="1" w:styleId="DocumentMapChar">
    <w:name w:val="Document Map Char"/>
    <w:basedOn w:val="DefaultParagraphFont"/>
    <w:link w:val="DocumentMap"/>
    <w:uiPriority w:val="99"/>
    <w:semiHidden/>
    <w:rsid w:val="00C4419E"/>
    <w:rPr>
      <w:rFonts w:ascii="Times New Roman" w:hAnsi="Times New Roman" w:cs="Times New Roman"/>
    </w:rPr>
  </w:style>
  <w:style w:type="character" w:customStyle="1" w:styleId="Heading1Char">
    <w:name w:val="Heading 1 Char"/>
    <w:basedOn w:val="DefaultParagraphFont"/>
    <w:link w:val="Heading1"/>
    <w:rsid w:val="009673A1"/>
    <w:rPr>
      <w:rFonts w:ascii="Book Antiqua" w:eastAsia="Times" w:hAnsi="Book Antiqua" w:cs="Times New Roman"/>
      <w:b/>
      <w:bCs/>
      <w:smallCaps/>
    </w:rPr>
  </w:style>
  <w:style w:type="character" w:customStyle="1" w:styleId="Heading2Char">
    <w:name w:val="Heading 2 Char"/>
    <w:basedOn w:val="DefaultParagraphFont"/>
    <w:link w:val="Heading2"/>
    <w:uiPriority w:val="9"/>
    <w:rsid w:val="009673A1"/>
    <w:rPr>
      <w:rFonts w:ascii="Times New Roman" w:eastAsiaTheme="majorEastAsia" w:hAnsi="Times New Roman" w:cstheme="majorBidi"/>
      <w:bCs/>
      <w:i/>
      <w:color w:val="000000" w:themeColor="text1"/>
      <w:szCs w:val="26"/>
    </w:rPr>
  </w:style>
  <w:style w:type="character" w:customStyle="1" w:styleId="Heading3Char">
    <w:name w:val="Heading 3 Char"/>
    <w:basedOn w:val="DefaultParagraphFont"/>
    <w:link w:val="Heading3"/>
    <w:uiPriority w:val="9"/>
    <w:rsid w:val="009673A1"/>
    <w:rPr>
      <w:rFonts w:ascii="Times New Roman" w:eastAsiaTheme="majorEastAsia" w:hAnsi="Times New Roman" w:cstheme="majorBidi"/>
      <w:i/>
      <w:color w:val="000000" w:themeColor="text1"/>
      <w:szCs w:val="26"/>
    </w:rPr>
  </w:style>
  <w:style w:type="character" w:customStyle="1" w:styleId="Heading4Char">
    <w:name w:val="Heading 4 Char"/>
    <w:basedOn w:val="DefaultParagraphFont"/>
    <w:link w:val="Heading4"/>
    <w:uiPriority w:val="9"/>
    <w:rsid w:val="009673A1"/>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673A1"/>
    <w:rPr>
      <w:rFonts w:ascii="Times New Roman" w:eastAsiaTheme="majorEastAsia" w:hAnsi="Times New Roman" w:cstheme="majorBidi"/>
      <w:i/>
    </w:rPr>
  </w:style>
  <w:style w:type="character" w:customStyle="1" w:styleId="Heading6Char">
    <w:name w:val="Heading 6 Char"/>
    <w:basedOn w:val="DefaultParagraphFont"/>
    <w:link w:val="Heading6"/>
    <w:uiPriority w:val="9"/>
    <w:semiHidden/>
    <w:rsid w:val="009673A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673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73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73A1"/>
    <w:rPr>
      <w:rFonts w:asciiTheme="majorHAnsi" w:eastAsiaTheme="majorEastAsia" w:hAnsiTheme="majorHAnsi" w:cstheme="majorBidi"/>
      <w:i/>
      <w:iCs/>
      <w:color w:val="404040" w:themeColor="text1" w:themeTint="BF"/>
      <w:sz w:val="20"/>
      <w:szCs w:val="20"/>
    </w:rPr>
  </w:style>
  <w:style w:type="paragraph" w:customStyle="1" w:styleId="p1">
    <w:name w:val="p1"/>
    <w:basedOn w:val="Normal"/>
    <w:rsid w:val="009673A1"/>
    <w:rPr>
      <w:rFonts w:ascii="Times New Roman" w:hAnsi="Times New Roman" w:cs="Times New Roman"/>
      <w:sz w:val="18"/>
      <w:szCs w:val="18"/>
      <w:lang w:eastAsia="zh-CN"/>
    </w:rPr>
  </w:style>
  <w:style w:type="paragraph" w:customStyle="1" w:styleId="p2">
    <w:name w:val="p2"/>
    <w:basedOn w:val="Normal"/>
    <w:rsid w:val="009673A1"/>
    <w:rPr>
      <w:rFonts w:ascii="Times New Roman" w:hAnsi="Times New Roman" w:cs="Times New Roman"/>
      <w:sz w:val="20"/>
      <w:szCs w:val="20"/>
      <w:lang w:eastAsia="zh-CN"/>
    </w:rPr>
  </w:style>
  <w:style w:type="character" w:customStyle="1" w:styleId="s1">
    <w:name w:val="s1"/>
    <w:basedOn w:val="DefaultParagraphFont"/>
    <w:rsid w:val="009673A1"/>
    <w:rPr>
      <w:rFonts w:ascii="Times New Roman" w:hAnsi="Times New Roman" w:cs="Times New Roman" w:hint="default"/>
      <w:sz w:val="13"/>
      <w:szCs w:val="13"/>
    </w:rPr>
  </w:style>
  <w:style w:type="character" w:customStyle="1" w:styleId="apple-converted-space">
    <w:name w:val="apple-converted-space"/>
    <w:basedOn w:val="DefaultParagraphFont"/>
    <w:rsid w:val="009673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F8"/>
  </w:style>
  <w:style w:type="paragraph" w:styleId="Heading1">
    <w:name w:val="heading 1"/>
    <w:basedOn w:val="Normal"/>
    <w:next w:val="Normal"/>
    <w:link w:val="Heading1Char"/>
    <w:qFormat/>
    <w:rsid w:val="009673A1"/>
    <w:pPr>
      <w:keepNext/>
      <w:numPr>
        <w:numId w:val="16"/>
      </w:numPr>
      <w:spacing w:before="240" w:after="120"/>
      <w:outlineLvl w:val="0"/>
    </w:pPr>
    <w:rPr>
      <w:rFonts w:ascii="Book Antiqua" w:eastAsia="Times" w:hAnsi="Book Antiqua" w:cs="Times New Roman"/>
      <w:b/>
      <w:bCs/>
      <w:smallCaps/>
    </w:rPr>
  </w:style>
  <w:style w:type="paragraph" w:styleId="Heading2">
    <w:name w:val="heading 2"/>
    <w:basedOn w:val="Normal"/>
    <w:next w:val="Normal"/>
    <w:link w:val="Heading2Char"/>
    <w:uiPriority w:val="9"/>
    <w:unhideWhenUsed/>
    <w:qFormat/>
    <w:rsid w:val="009673A1"/>
    <w:pPr>
      <w:keepNext/>
      <w:keepLines/>
      <w:numPr>
        <w:ilvl w:val="1"/>
        <w:numId w:val="16"/>
      </w:numPr>
      <w:spacing w:before="240" w:after="120"/>
      <w:outlineLvl w:val="1"/>
    </w:pPr>
    <w:rPr>
      <w:rFonts w:ascii="Times New Roman" w:eastAsiaTheme="majorEastAsia" w:hAnsi="Times New Roman" w:cstheme="majorBidi"/>
      <w:bCs/>
      <w:i/>
      <w:color w:val="000000" w:themeColor="text1"/>
      <w:szCs w:val="26"/>
    </w:rPr>
  </w:style>
  <w:style w:type="paragraph" w:styleId="Heading3">
    <w:name w:val="heading 3"/>
    <w:basedOn w:val="Heading2"/>
    <w:next w:val="Normal"/>
    <w:link w:val="Heading3Char"/>
    <w:uiPriority w:val="9"/>
    <w:unhideWhenUsed/>
    <w:qFormat/>
    <w:rsid w:val="009673A1"/>
    <w:pPr>
      <w:numPr>
        <w:ilvl w:val="2"/>
      </w:numPr>
      <w:outlineLvl w:val="2"/>
    </w:pPr>
    <w:rPr>
      <w:bCs w:val="0"/>
    </w:rPr>
  </w:style>
  <w:style w:type="paragraph" w:styleId="Heading4">
    <w:name w:val="heading 4"/>
    <w:basedOn w:val="Normal"/>
    <w:next w:val="Normal"/>
    <w:link w:val="Heading4Char"/>
    <w:uiPriority w:val="9"/>
    <w:unhideWhenUsed/>
    <w:qFormat/>
    <w:rsid w:val="009673A1"/>
    <w:pPr>
      <w:keepNext/>
      <w:keepLines/>
      <w:numPr>
        <w:ilvl w:val="3"/>
        <w:numId w:val="16"/>
      </w:numPr>
      <w:spacing w:before="240" w:after="120"/>
      <w:outlineLvl w:val="3"/>
    </w:pPr>
    <w:rPr>
      <w:rFonts w:ascii="Times New Roman" w:eastAsiaTheme="majorEastAsia" w:hAnsi="Times New Roman" w:cstheme="majorBidi"/>
      <w:bCs/>
      <w:i/>
      <w:iCs/>
    </w:rPr>
  </w:style>
  <w:style w:type="paragraph" w:styleId="Heading5">
    <w:name w:val="heading 5"/>
    <w:basedOn w:val="Normal"/>
    <w:next w:val="Normal"/>
    <w:link w:val="Heading5Char"/>
    <w:uiPriority w:val="9"/>
    <w:unhideWhenUsed/>
    <w:qFormat/>
    <w:rsid w:val="009673A1"/>
    <w:pPr>
      <w:keepNext/>
      <w:keepLines/>
      <w:numPr>
        <w:ilvl w:val="4"/>
        <w:numId w:val="16"/>
      </w:numPr>
      <w:spacing w:before="240" w:after="120"/>
      <w:outlineLvl w:val="4"/>
    </w:pPr>
    <w:rPr>
      <w:rFonts w:ascii="Times New Roman" w:eastAsiaTheme="majorEastAsia" w:hAnsi="Times New Roman" w:cstheme="majorBidi"/>
      <w:i/>
    </w:rPr>
  </w:style>
  <w:style w:type="paragraph" w:styleId="Heading6">
    <w:name w:val="heading 6"/>
    <w:basedOn w:val="Normal"/>
    <w:next w:val="Normal"/>
    <w:link w:val="Heading6Char"/>
    <w:uiPriority w:val="9"/>
    <w:semiHidden/>
    <w:unhideWhenUsed/>
    <w:qFormat/>
    <w:rsid w:val="009673A1"/>
    <w:pPr>
      <w:keepNext/>
      <w:keepLines/>
      <w:numPr>
        <w:ilvl w:val="5"/>
        <w:numId w:val="16"/>
      </w:numPr>
      <w:spacing w:before="200" w:line="36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73A1"/>
    <w:pPr>
      <w:keepNext/>
      <w:keepLines/>
      <w:numPr>
        <w:ilvl w:val="6"/>
        <w:numId w:val="16"/>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73A1"/>
    <w:pPr>
      <w:keepNext/>
      <w:keepLines/>
      <w:numPr>
        <w:ilvl w:val="7"/>
        <w:numId w:val="16"/>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73A1"/>
    <w:pPr>
      <w:keepNext/>
      <w:keepLines/>
      <w:numPr>
        <w:ilvl w:val="8"/>
        <w:numId w:val="16"/>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3755"/>
    <w:pPr>
      <w:ind w:left="720"/>
      <w:contextualSpacing/>
    </w:pPr>
  </w:style>
  <w:style w:type="character" w:styleId="CommentReference">
    <w:name w:val="annotation reference"/>
    <w:basedOn w:val="DefaultParagraphFont"/>
    <w:uiPriority w:val="99"/>
    <w:semiHidden/>
    <w:unhideWhenUsed/>
    <w:rsid w:val="002F602A"/>
    <w:rPr>
      <w:sz w:val="18"/>
      <w:szCs w:val="18"/>
    </w:rPr>
  </w:style>
  <w:style w:type="paragraph" w:styleId="CommentText">
    <w:name w:val="annotation text"/>
    <w:basedOn w:val="Normal"/>
    <w:link w:val="CommentTextChar"/>
    <w:uiPriority w:val="99"/>
    <w:semiHidden/>
    <w:unhideWhenUsed/>
    <w:rsid w:val="002F602A"/>
  </w:style>
  <w:style w:type="character" w:customStyle="1" w:styleId="CommentTextChar">
    <w:name w:val="Comment Text Char"/>
    <w:basedOn w:val="DefaultParagraphFont"/>
    <w:link w:val="CommentText"/>
    <w:uiPriority w:val="99"/>
    <w:semiHidden/>
    <w:rsid w:val="002F602A"/>
  </w:style>
  <w:style w:type="paragraph" w:styleId="CommentSubject">
    <w:name w:val="annotation subject"/>
    <w:basedOn w:val="CommentText"/>
    <w:next w:val="CommentText"/>
    <w:link w:val="CommentSubjectChar"/>
    <w:uiPriority w:val="99"/>
    <w:semiHidden/>
    <w:unhideWhenUsed/>
    <w:rsid w:val="002F602A"/>
    <w:rPr>
      <w:b/>
      <w:bCs/>
      <w:sz w:val="20"/>
      <w:szCs w:val="20"/>
    </w:rPr>
  </w:style>
  <w:style w:type="character" w:customStyle="1" w:styleId="CommentSubjectChar">
    <w:name w:val="Comment Subject Char"/>
    <w:basedOn w:val="CommentTextChar"/>
    <w:link w:val="CommentSubject"/>
    <w:uiPriority w:val="99"/>
    <w:semiHidden/>
    <w:rsid w:val="002F602A"/>
    <w:rPr>
      <w:b/>
      <w:bCs/>
      <w:sz w:val="20"/>
      <w:szCs w:val="20"/>
    </w:rPr>
  </w:style>
  <w:style w:type="paragraph" w:styleId="BalloonText">
    <w:name w:val="Balloon Text"/>
    <w:basedOn w:val="Normal"/>
    <w:link w:val="BalloonTextChar"/>
    <w:uiPriority w:val="99"/>
    <w:semiHidden/>
    <w:unhideWhenUsed/>
    <w:rsid w:val="002F60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02A"/>
    <w:rPr>
      <w:rFonts w:ascii="Times New Roman" w:hAnsi="Times New Roman" w:cs="Times New Roman"/>
      <w:sz w:val="18"/>
      <w:szCs w:val="18"/>
    </w:rPr>
  </w:style>
  <w:style w:type="paragraph" w:styleId="FootnoteText">
    <w:name w:val="footnote text"/>
    <w:basedOn w:val="Normal"/>
    <w:link w:val="FootnoteTextChar"/>
    <w:uiPriority w:val="99"/>
    <w:unhideWhenUsed/>
    <w:rsid w:val="005350FA"/>
  </w:style>
  <w:style w:type="character" w:customStyle="1" w:styleId="FootnoteTextChar">
    <w:name w:val="Footnote Text Char"/>
    <w:basedOn w:val="DefaultParagraphFont"/>
    <w:link w:val="FootnoteText"/>
    <w:uiPriority w:val="99"/>
    <w:rsid w:val="005350FA"/>
  </w:style>
  <w:style w:type="character" w:styleId="Hyperlink">
    <w:name w:val="Hyperlink"/>
    <w:basedOn w:val="DefaultParagraphFont"/>
    <w:uiPriority w:val="99"/>
    <w:unhideWhenUsed/>
    <w:rsid w:val="005350FA"/>
    <w:rPr>
      <w:color w:val="0563C1"/>
      <w:u w:val="single"/>
    </w:rPr>
  </w:style>
  <w:style w:type="character" w:styleId="FootnoteReference">
    <w:name w:val="footnote reference"/>
    <w:basedOn w:val="DefaultParagraphFont"/>
    <w:uiPriority w:val="99"/>
    <w:unhideWhenUsed/>
    <w:rsid w:val="005350FA"/>
    <w:rPr>
      <w:vertAlign w:val="superscript"/>
    </w:rPr>
  </w:style>
  <w:style w:type="paragraph" w:styleId="Header">
    <w:name w:val="header"/>
    <w:basedOn w:val="Normal"/>
    <w:link w:val="HeaderChar"/>
    <w:uiPriority w:val="99"/>
    <w:unhideWhenUsed/>
    <w:rsid w:val="00977584"/>
    <w:pPr>
      <w:tabs>
        <w:tab w:val="center" w:pos="4680"/>
        <w:tab w:val="right" w:pos="9360"/>
      </w:tabs>
    </w:pPr>
  </w:style>
  <w:style w:type="character" w:customStyle="1" w:styleId="HeaderChar">
    <w:name w:val="Header Char"/>
    <w:basedOn w:val="DefaultParagraphFont"/>
    <w:link w:val="Header"/>
    <w:uiPriority w:val="99"/>
    <w:rsid w:val="00977584"/>
  </w:style>
  <w:style w:type="paragraph" w:styleId="Footer">
    <w:name w:val="footer"/>
    <w:basedOn w:val="Normal"/>
    <w:link w:val="FooterChar"/>
    <w:uiPriority w:val="99"/>
    <w:unhideWhenUsed/>
    <w:rsid w:val="00977584"/>
    <w:pPr>
      <w:tabs>
        <w:tab w:val="center" w:pos="4680"/>
        <w:tab w:val="right" w:pos="9360"/>
      </w:tabs>
    </w:pPr>
  </w:style>
  <w:style w:type="character" w:customStyle="1" w:styleId="FooterChar">
    <w:name w:val="Footer Char"/>
    <w:basedOn w:val="DefaultParagraphFont"/>
    <w:link w:val="Footer"/>
    <w:uiPriority w:val="99"/>
    <w:rsid w:val="00977584"/>
  </w:style>
  <w:style w:type="paragraph" w:styleId="Revision">
    <w:name w:val="Revision"/>
    <w:hidden/>
    <w:uiPriority w:val="99"/>
    <w:semiHidden/>
    <w:rsid w:val="00A74C34"/>
  </w:style>
  <w:style w:type="paragraph" w:styleId="Caption">
    <w:name w:val="caption"/>
    <w:basedOn w:val="Normal"/>
    <w:next w:val="Normal"/>
    <w:uiPriority w:val="35"/>
    <w:unhideWhenUsed/>
    <w:qFormat/>
    <w:rsid w:val="005B0071"/>
    <w:pPr>
      <w:spacing w:after="200"/>
    </w:pPr>
    <w:rPr>
      <w:rFonts w:ascii="Calibri" w:hAnsi="Calibri" w:cs="Times New Roman"/>
      <w:i/>
      <w:iCs/>
      <w:color w:val="44546A" w:themeColor="text2"/>
      <w:sz w:val="18"/>
      <w:szCs w:val="18"/>
    </w:rPr>
  </w:style>
  <w:style w:type="paragraph" w:styleId="DocumentMap">
    <w:name w:val="Document Map"/>
    <w:basedOn w:val="Normal"/>
    <w:link w:val="DocumentMapChar"/>
    <w:uiPriority w:val="99"/>
    <w:semiHidden/>
    <w:unhideWhenUsed/>
    <w:rsid w:val="00C4419E"/>
    <w:rPr>
      <w:rFonts w:ascii="Times New Roman" w:hAnsi="Times New Roman" w:cs="Times New Roman"/>
    </w:rPr>
  </w:style>
  <w:style w:type="character" w:customStyle="1" w:styleId="DocumentMapChar">
    <w:name w:val="Document Map Char"/>
    <w:basedOn w:val="DefaultParagraphFont"/>
    <w:link w:val="DocumentMap"/>
    <w:uiPriority w:val="99"/>
    <w:semiHidden/>
    <w:rsid w:val="00C4419E"/>
    <w:rPr>
      <w:rFonts w:ascii="Times New Roman" w:hAnsi="Times New Roman" w:cs="Times New Roman"/>
    </w:rPr>
  </w:style>
  <w:style w:type="character" w:customStyle="1" w:styleId="Heading1Char">
    <w:name w:val="Heading 1 Char"/>
    <w:basedOn w:val="DefaultParagraphFont"/>
    <w:link w:val="Heading1"/>
    <w:rsid w:val="009673A1"/>
    <w:rPr>
      <w:rFonts w:ascii="Book Antiqua" w:eastAsia="Times" w:hAnsi="Book Antiqua" w:cs="Times New Roman"/>
      <w:b/>
      <w:bCs/>
      <w:smallCaps/>
    </w:rPr>
  </w:style>
  <w:style w:type="character" w:customStyle="1" w:styleId="Heading2Char">
    <w:name w:val="Heading 2 Char"/>
    <w:basedOn w:val="DefaultParagraphFont"/>
    <w:link w:val="Heading2"/>
    <w:uiPriority w:val="9"/>
    <w:rsid w:val="009673A1"/>
    <w:rPr>
      <w:rFonts w:ascii="Times New Roman" w:eastAsiaTheme="majorEastAsia" w:hAnsi="Times New Roman" w:cstheme="majorBidi"/>
      <w:bCs/>
      <w:i/>
      <w:color w:val="000000" w:themeColor="text1"/>
      <w:szCs w:val="26"/>
    </w:rPr>
  </w:style>
  <w:style w:type="character" w:customStyle="1" w:styleId="Heading3Char">
    <w:name w:val="Heading 3 Char"/>
    <w:basedOn w:val="DefaultParagraphFont"/>
    <w:link w:val="Heading3"/>
    <w:uiPriority w:val="9"/>
    <w:rsid w:val="009673A1"/>
    <w:rPr>
      <w:rFonts w:ascii="Times New Roman" w:eastAsiaTheme="majorEastAsia" w:hAnsi="Times New Roman" w:cstheme="majorBidi"/>
      <w:i/>
      <w:color w:val="000000" w:themeColor="text1"/>
      <w:szCs w:val="26"/>
    </w:rPr>
  </w:style>
  <w:style w:type="character" w:customStyle="1" w:styleId="Heading4Char">
    <w:name w:val="Heading 4 Char"/>
    <w:basedOn w:val="DefaultParagraphFont"/>
    <w:link w:val="Heading4"/>
    <w:uiPriority w:val="9"/>
    <w:rsid w:val="009673A1"/>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673A1"/>
    <w:rPr>
      <w:rFonts w:ascii="Times New Roman" w:eastAsiaTheme="majorEastAsia" w:hAnsi="Times New Roman" w:cstheme="majorBidi"/>
      <w:i/>
    </w:rPr>
  </w:style>
  <w:style w:type="character" w:customStyle="1" w:styleId="Heading6Char">
    <w:name w:val="Heading 6 Char"/>
    <w:basedOn w:val="DefaultParagraphFont"/>
    <w:link w:val="Heading6"/>
    <w:uiPriority w:val="9"/>
    <w:semiHidden/>
    <w:rsid w:val="009673A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673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73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73A1"/>
    <w:rPr>
      <w:rFonts w:asciiTheme="majorHAnsi" w:eastAsiaTheme="majorEastAsia" w:hAnsiTheme="majorHAnsi" w:cstheme="majorBidi"/>
      <w:i/>
      <w:iCs/>
      <w:color w:val="404040" w:themeColor="text1" w:themeTint="BF"/>
      <w:sz w:val="20"/>
      <w:szCs w:val="20"/>
    </w:rPr>
  </w:style>
  <w:style w:type="paragraph" w:customStyle="1" w:styleId="p1">
    <w:name w:val="p1"/>
    <w:basedOn w:val="Normal"/>
    <w:rsid w:val="009673A1"/>
    <w:rPr>
      <w:rFonts w:ascii="Times New Roman" w:hAnsi="Times New Roman" w:cs="Times New Roman"/>
      <w:sz w:val="18"/>
      <w:szCs w:val="18"/>
      <w:lang w:eastAsia="zh-CN"/>
    </w:rPr>
  </w:style>
  <w:style w:type="paragraph" w:customStyle="1" w:styleId="p2">
    <w:name w:val="p2"/>
    <w:basedOn w:val="Normal"/>
    <w:rsid w:val="009673A1"/>
    <w:rPr>
      <w:rFonts w:ascii="Times New Roman" w:hAnsi="Times New Roman" w:cs="Times New Roman"/>
      <w:sz w:val="20"/>
      <w:szCs w:val="20"/>
      <w:lang w:eastAsia="zh-CN"/>
    </w:rPr>
  </w:style>
  <w:style w:type="character" w:customStyle="1" w:styleId="s1">
    <w:name w:val="s1"/>
    <w:basedOn w:val="DefaultParagraphFont"/>
    <w:rsid w:val="009673A1"/>
    <w:rPr>
      <w:rFonts w:ascii="Times New Roman" w:hAnsi="Times New Roman" w:cs="Times New Roman" w:hint="default"/>
      <w:sz w:val="13"/>
      <w:szCs w:val="13"/>
    </w:rPr>
  </w:style>
  <w:style w:type="character" w:customStyle="1" w:styleId="apple-converted-space">
    <w:name w:val="apple-converted-space"/>
    <w:basedOn w:val="DefaultParagraphFont"/>
    <w:rsid w:val="0096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02">
      <w:bodyDiv w:val="1"/>
      <w:marLeft w:val="0"/>
      <w:marRight w:val="0"/>
      <w:marTop w:val="0"/>
      <w:marBottom w:val="0"/>
      <w:divBdr>
        <w:top w:val="none" w:sz="0" w:space="0" w:color="auto"/>
        <w:left w:val="none" w:sz="0" w:space="0" w:color="auto"/>
        <w:bottom w:val="none" w:sz="0" w:space="0" w:color="auto"/>
        <w:right w:val="none" w:sz="0" w:space="0" w:color="auto"/>
      </w:divBdr>
      <w:divsChild>
        <w:div w:id="226769047">
          <w:marLeft w:val="0"/>
          <w:marRight w:val="0"/>
          <w:marTop w:val="0"/>
          <w:marBottom w:val="0"/>
          <w:divBdr>
            <w:top w:val="none" w:sz="0" w:space="0" w:color="auto"/>
            <w:left w:val="none" w:sz="0" w:space="0" w:color="auto"/>
            <w:bottom w:val="none" w:sz="0" w:space="0" w:color="auto"/>
            <w:right w:val="none" w:sz="0" w:space="0" w:color="auto"/>
          </w:divBdr>
        </w:div>
        <w:div w:id="327294425">
          <w:marLeft w:val="0"/>
          <w:marRight w:val="0"/>
          <w:marTop w:val="0"/>
          <w:marBottom w:val="0"/>
          <w:divBdr>
            <w:top w:val="none" w:sz="0" w:space="0" w:color="auto"/>
            <w:left w:val="none" w:sz="0" w:space="0" w:color="auto"/>
            <w:bottom w:val="none" w:sz="0" w:space="0" w:color="auto"/>
            <w:right w:val="none" w:sz="0" w:space="0" w:color="auto"/>
          </w:divBdr>
        </w:div>
        <w:div w:id="377977571">
          <w:marLeft w:val="0"/>
          <w:marRight w:val="0"/>
          <w:marTop w:val="0"/>
          <w:marBottom w:val="0"/>
          <w:divBdr>
            <w:top w:val="none" w:sz="0" w:space="0" w:color="auto"/>
            <w:left w:val="none" w:sz="0" w:space="0" w:color="auto"/>
            <w:bottom w:val="none" w:sz="0" w:space="0" w:color="auto"/>
            <w:right w:val="none" w:sz="0" w:space="0" w:color="auto"/>
          </w:divBdr>
        </w:div>
        <w:div w:id="1713380281">
          <w:marLeft w:val="0"/>
          <w:marRight w:val="0"/>
          <w:marTop w:val="0"/>
          <w:marBottom w:val="0"/>
          <w:divBdr>
            <w:top w:val="none" w:sz="0" w:space="0" w:color="auto"/>
            <w:left w:val="none" w:sz="0" w:space="0" w:color="auto"/>
            <w:bottom w:val="none" w:sz="0" w:space="0" w:color="auto"/>
            <w:right w:val="none" w:sz="0" w:space="0" w:color="auto"/>
          </w:divBdr>
        </w:div>
      </w:divsChild>
    </w:div>
    <w:div w:id="46805164">
      <w:bodyDiv w:val="1"/>
      <w:marLeft w:val="0"/>
      <w:marRight w:val="0"/>
      <w:marTop w:val="0"/>
      <w:marBottom w:val="0"/>
      <w:divBdr>
        <w:top w:val="none" w:sz="0" w:space="0" w:color="auto"/>
        <w:left w:val="none" w:sz="0" w:space="0" w:color="auto"/>
        <w:bottom w:val="none" w:sz="0" w:space="0" w:color="auto"/>
        <w:right w:val="none" w:sz="0" w:space="0" w:color="auto"/>
      </w:divBdr>
    </w:div>
    <w:div w:id="162209414">
      <w:bodyDiv w:val="1"/>
      <w:marLeft w:val="0"/>
      <w:marRight w:val="0"/>
      <w:marTop w:val="0"/>
      <w:marBottom w:val="0"/>
      <w:divBdr>
        <w:top w:val="none" w:sz="0" w:space="0" w:color="auto"/>
        <w:left w:val="none" w:sz="0" w:space="0" w:color="auto"/>
        <w:bottom w:val="none" w:sz="0" w:space="0" w:color="auto"/>
        <w:right w:val="none" w:sz="0" w:space="0" w:color="auto"/>
      </w:divBdr>
    </w:div>
    <w:div w:id="398983414">
      <w:bodyDiv w:val="1"/>
      <w:marLeft w:val="0"/>
      <w:marRight w:val="0"/>
      <w:marTop w:val="0"/>
      <w:marBottom w:val="0"/>
      <w:divBdr>
        <w:top w:val="none" w:sz="0" w:space="0" w:color="auto"/>
        <w:left w:val="none" w:sz="0" w:space="0" w:color="auto"/>
        <w:bottom w:val="none" w:sz="0" w:space="0" w:color="auto"/>
        <w:right w:val="none" w:sz="0" w:space="0" w:color="auto"/>
      </w:divBdr>
    </w:div>
    <w:div w:id="501897693">
      <w:bodyDiv w:val="1"/>
      <w:marLeft w:val="0"/>
      <w:marRight w:val="0"/>
      <w:marTop w:val="0"/>
      <w:marBottom w:val="0"/>
      <w:divBdr>
        <w:top w:val="none" w:sz="0" w:space="0" w:color="auto"/>
        <w:left w:val="none" w:sz="0" w:space="0" w:color="auto"/>
        <w:bottom w:val="none" w:sz="0" w:space="0" w:color="auto"/>
        <w:right w:val="none" w:sz="0" w:space="0" w:color="auto"/>
      </w:divBdr>
    </w:div>
    <w:div w:id="530342139">
      <w:bodyDiv w:val="1"/>
      <w:marLeft w:val="0"/>
      <w:marRight w:val="0"/>
      <w:marTop w:val="0"/>
      <w:marBottom w:val="0"/>
      <w:divBdr>
        <w:top w:val="none" w:sz="0" w:space="0" w:color="auto"/>
        <w:left w:val="none" w:sz="0" w:space="0" w:color="auto"/>
        <w:bottom w:val="none" w:sz="0" w:space="0" w:color="auto"/>
        <w:right w:val="none" w:sz="0" w:space="0" w:color="auto"/>
      </w:divBdr>
    </w:div>
    <w:div w:id="596182391">
      <w:bodyDiv w:val="1"/>
      <w:marLeft w:val="0"/>
      <w:marRight w:val="0"/>
      <w:marTop w:val="0"/>
      <w:marBottom w:val="0"/>
      <w:divBdr>
        <w:top w:val="none" w:sz="0" w:space="0" w:color="auto"/>
        <w:left w:val="none" w:sz="0" w:space="0" w:color="auto"/>
        <w:bottom w:val="none" w:sz="0" w:space="0" w:color="auto"/>
        <w:right w:val="none" w:sz="0" w:space="0" w:color="auto"/>
      </w:divBdr>
    </w:div>
    <w:div w:id="599065825">
      <w:bodyDiv w:val="1"/>
      <w:marLeft w:val="0"/>
      <w:marRight w:val="0"/>
      <w:marTop w:val="0"/>
      <w:marBottom w:val="0"/>
      <w:divBdr>
        <w:top w:val="none" w:sz="0" w:space="0" w:color="auto"/>
        <w:left w:val="none" w:sz="0" w:space="0" w:color="auto"/>
        <w:bottom w:val="none" w:sz="0" w:space="0" w:color="auto"/>
        <w:right w:val="none" w:sz="0" w:space="0" w:color="auto"/>
      </w:divBdr>
      <w:divsChild>
        <w:div w:id="58673842">
          <w:marLeft w:val="0"/>
          <w:marRight w:val="0"/>
          <w:marTop w:val="0"/>
          <w:marBottom w:val="0"/>
          <w:divBdr>
            <w:top w:val="none" w:sz="0" w:space="0" w:color="auto"/>
            <w:left w:val="none" w:sz="0" w:space="0" w:color="auto"/>
            <w:bottom w:val="none" w:sz="0" w:space="0" w:color="auto"/>
            <w:right w:val="none" w:sz="0" w:space="0" w:color="auto"/>
          </w:divBdr>
        </w:div>
        <w:div w:id="490484790">
          <w:marLeft w:val="0"/>
          <w:marRight w:val="0"/>
          <w:marTop w:val="0"/>
          <w:marBottom w:val="0"/>
          <w:divBdr>
            <w:top w:val="none" w:sz="0" w:space="0" w:color="auto"/>
            <w:left w:val="none" w:sz="0" w:space="0" w:color="auto"/>
            <w:bottom w:val="none" w:sz="0" w:space="0" w:color="auto"/>
            <w:right w:val="none" w:sz="0" w:space="0" w:color="auto"/>
          </w:divBdr>
        </w:div>
        <w:div w:id="499856622">
          <w:marLeft w:val="0"/>
          <w:marRight w:val="0"/>
          <w:marTop w:val="0"/>
          <w:marBottom w:val="0"/>
          <w:divBdr>
            <w:top w:val="none" w:sz="0" w:space="0" w:color="auto"/>
            <w:left w:val="none" w:sz="0" w:space="0" w:color="auto"/>
            <w:bottom w:val="none" w:sz="0" w:space="0" w:color="auto"/>
            <w:right w:val="none" w:sz="0" w:space="0" w:color="auto"/>
          </w:divBdr>
        </w:div>
        <w:div w:id="937371744">
          <w:marLeft w:val="0"/>
          <w:marRight w:val="0"/>
          <w:marTop w:val="0"/>
          <w:marBottom w:val="0"/>
          <w:divBdr>
            <w:top w:val="none" w:sz="0" w:space="0" w:color="auto"/>
            <w:left w:val="none" w:sz="0" w:space="0" w:color="auto"/>
            <w:bottom w:val="none" w:sz="0" w:space="0" w:color="auto"/>
            <w:right w:val="none" w:sz="0" w:space="0" w:color="auto"/>
          </w:divBdr>
        </w:div>
      </w:divsChild>
    </w:div>
    <w:div w:id="612634381">
      <w:bodyDiv w:val="1"/>
      <w:marLeft w:val="0"/>
      <w:marRight w:val="0"/>
      <w:marTop w:val="0"/>
      <w:marBottom w:val="0"/>
      <w:divBdr>
        <w:top w:val="none" w:sz="0" w:space="0" w:color="auto"/>
        <w:left w:val="none" w:sz="0" w:space="0" w:color="auto"/>
        <w:bottom w:val="none" w:sz="0" w:space="0" w:color="auto"/>
        <w:right w:val="none" w:sz="0" w:space="0" w:color="auto"/>
      </w:divBdr>
    </w:div>
    <w:div w:id="775056079">
      <w:bodyDiv w:val="1"/>
      <w:marLeft w:val="0"/>
      <w:marRight w:val="0"/>
      <w:marTop w:val="0"/>
      <w:marBottom w:val="0"/>
      <w:divBdr>
        <w:top w:val="none" w:sz="0" w:space="0" w:color="auto"/>
        <w:left w:val="none" w:sz="0" w:space="0" w:color="auto"/>
        <w:bottom w:val="none" w:sz="0" w:space="0" w:color="auto"/>
        <w:right w:val="none" w:sz="0" w:space="0" w:color="auto"/>
      </w:divBdr>
    </w:div>
    <w:div w:id="823013913">
      <w:bodyDiv w:val="1"/>
      <w:marLeft w:val="0"/>
      <w:marRight w:val="0"/>
      <w:marTop w:val="0"/>
      <w:marBottom w:val="0"/>
      <w:divBdr>
        <w:top w:val="none" w:sz="0" w:space="0" w:color="auto"/>
        <w:left w:val="none" w:sz="0" w:space="0" w:color="auto"/>
        <w:bottom w:val="none" w:sz="0" w:space="0" w:color="auto"/>
        <w:right w:val="none" w:sz="0" w:space="0" w:color="auto"/>
      </w:divBdr>
    </w:div>
    <w:div w:id="1356884829">
      <w:bodyDiv w:val="1"/>
      <w:marLeft w:val="0"/>
      <w:marRight w:val="0"/>
      <w:marTop w:val="0"/>
      <w:marBottom w:val="0"/>
      <w:divBdr>
        <w:top w:val="none" w:sz="0" w:space="0" w:color="auto"/>
        <w:left w:val="none" w:sz="0" w:space="0" w:color="auto"/>
        <w:bottom w:val="none" w:sz="0" w:space="0" w:color="auto"/>
        <w:right w:val="none" w:sz="0" w:space="0" w:color="auto"/>
      </w:divBdr>
    </w:div>
    <w:div w:id="1452896323">
      <w:bodyDiv w:val="1"/>
      <w:marLeft w:val="0"/>
      <w:marRight w:val="0"/>
      <w:marTop w:val="0"/>
      <w:marBottom w:val="0"/>
      <w:divBdr>
        <w:top w:val="none" w:sz="0" w:space="0" w:color="auto"/>
        <w:left w:val="none" w:sz="0" w:space="0" w:color="auto"/>
        <w:bottom w:val="none" w:sz="0" w:space="0" w:color="auto"/>
        <w:right w:val="none" w:sz="0" w:space="0" w:color="auto"/>
      </w:divBdr>
    </w:div>
    <w:div w:id="1619677367">
      <w:bodyDiv w:val="1"/>
      <w:marLeft w:val="0"/>
      <w:marRight w:val="0"/>
      <w:marTop w:val="0"/>
      <w:marBottom w:val="0"/>
      <w:divBdr>
        <w:top w:val="none" w:sz="0" w:space="0" w:color="auto"/>
        <w:left w:val="none" w:sz="0" w:space="0" w:color="auto"/>
        <w:bottom w:val="none" w:sz="0" w:space="0" w:color="auto"/>
        <w:right w:val="none" w:sz="0" w:space="0" w:color="auto"/>
      </w:divBdr>
    </w:div>
    <w:div w:id="1696924045">
      <w:bodyDiv w:val="1"/>
      <w:marLeft w:val="0"/>
      <w:marRight w:val="0"/>
      <w:marTop w:val="0"/>
      <w:marBottom w:val="0"/>
      <w:divBdr>
        <w:top w:val="none" w:sz="0" w:space="0" w:color="auto"/>
        <w:left w:val="none" w:sz="0" w:space="0" w:color="auto"/>
        <w:bottom w:val="none" w:sz="0" w:space="0" w:color="auto"/>
        <w:right w:val="none" w:sz="0" w:space="0" w:color="auto"/>
      </w:divBdr>
    </w:div>
    <w:div w:id="1704017114">
      <w:bodyDiv w:val="1"/>
      <w:marLeft w:val="0"/>
      <w:marRight w:val="0"/>
      <w:marTop w:val="0"/>
      <w:marBottom w:val="0"/>
      <w:divBdr>
        <w:top w:val="none" w:sz="0" w:space="0" w:color="auto"/>
        <w:left w:val="none" w:sz="0" w:space="0" w:color="auto"/>
        <w:bottom w:val="none" w:sz="0" w:space="0" w:color="auto"/>
        <w:right w:val="none" w:sz="0" w:space="0" w:color="auto"/>
      </w:divBdr>
    </w:div>
    <w:div w:id="189766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F2C60698B0E4AA1DC14DE5B78D9BF" ma:contentTypeVersion="2" ma:contentTypeDescription="Create a new document." ma:contentTypeScope="" ma:versionID="ab9fb71f5bb43d5d3f9fd74da6f57111">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7F3E-8F2E-4700-8312-9A6C2BE4D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B4A20-74DD-4102-8448-1A1BAACA2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D2C5D-A751-4143-8F72-F0C720BB144B}">
  <ds:schemaRefs>
    <ds:schemaRef ds:uri="http://schemas.microsoft.com/sharepoint/v3/contenttype/forms"/>
  </ds:schemaRefs>
</ds:datastoreItem>
</file>

<file path=customXml/itemProps4.xml><?xml version="1.0" encoding="utf-8"?>
<ds:datastoreItem xmlns:ds="http://schemas.openxmlformats.org/officeDocument/2006/customXml" ds:itemID="{2FB6DD62-C39E-F340-B5D6-BC88ECB9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4499</Words>
  <Characters>25647</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Claire Evans</dc:creator>
  <cp:lastModifiedBy>Brad Heavner</cp:lastModifiedBy>
  <cp:revision>2</cp:revision>
  <cp:lastPrinted>2018-02-08T17:53:00Z</cp:lastPrinted>
  <dcterms:created xsi:type="dcterms:W3CDTF">2018-02-15T19:09:00Z</dcterms:created>
  <dcterms:modified xsi:type="dcterms:W3CDTF">2018-02-15T19:09:00Z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0x0101004B9F2C60698B0E4AA1DC14DE5B78D9BF</vt:lpwstr>
  </property>
</Properties>
</file>