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95F70" w14:textId="77777777" w:rsidR="00DF6867" w:rsidRDefault="004C1DDC" w:rsidP="004C1DDC">
      <w:pPr>
        <w:jc w:val="center"/>
        <w:rPr>
          <w:b/>
        </w:rPr>
      </w:pPr>
      <w:r>
        <w:rPr>
          <w:b/>
        </w:rPr>
        <w:t>CPUC RULEMAKING 17-07-007</w:t>
      </w:r>
    </w:p>
    <w:p w14:paraId="45DF133E" w14:textId="77777777" w:rsidR="004C1DDC" w:rsidRDefault="00A43D48" w:rsidP="004C1DDC">
      <w:pPr>
        <w:jc w:val="center"/>
        <w:rPr>
          <w:b/>
        </w:rPr>
      </w:pPr>
      <w:r>
        <w:rPr>
          <w:b/>
        </w:rPr>
        <w:t xml:space="preserve">Working Group Issue </w:t>
      </w:r>
      <w:r w:rsidR="004C1DDC">
        <w:rPr>
          <w:b/>
        </w:rPr>
        <w:t>#7</w:t>
      </w:r>
      <w:r>
        <w:rPr>
          <w:b/>
        </w:rPr>
        <w:t xml:space="preserve">  </w:t>
      </w:r>
    </w:p>
    <w:p w14:paraId="19F21D46" w14:textId="77777777" w:rsidR="00BB1BF0" w:rsidRDefault="00BB1BF0" w:rsidP="004C1DDC">
      <w:pPr>
        <w:jc w:val="center"/>
        <w:rPr>
          <w:b/>
        </w:rPr>
      </w:pPr>
      <w:r>
        <w:rPr>
          <w:b/>
        </w:rPr>
        <w:t>January</w:t>
      </w:r>
      <w:r w:rsidR="004B7DE2">
        <w:rPr>
          <w:b/>
        </w:rPr>
        <w:t xml:space="preserve"> 23</w:t>
      </w:r>
      <w:r>
        <w:rPr>
          <w:b/>
        </w:rPr>
        <w:t xml:space="preserve">, 2018 </w:t>
      </w:r>
    </w:p>
    <w:p w14:paraId="7859C18C" w14:textId="77777777" w:rsidR="00BB1BF0" w:rsidRDefault="00BB1BF0" w:rsidP="004C1DDC">
      <w:pPr>
        <w:jc w:val="center"/>
        <w:rPr>
          <w:b/>
        </w:rPr>
      </w:pPr>
      <w:r>
        <w:rPr>
          <w:b/>
        </w:rPr>
        <w:t xml:space="preserve">Draft for Discussion Purposes Only </w:t>
      </w:r>
    </w:p>
    <w:p w14:paraId="2662FDC4" w14:textId="77777777" w:rsidR="004C1DDC" w:rsidRPr="004C1DDC" w:rsidRDefault="004C1DDC" w:rsidP="004C1DDC">
      <w:pPr>
        <w:jc w:val="center"/>
        <w:rPr>
          <w:b/>
        </w:rPr>
      </w:pPr>
    </w:p>
    <w:p w14:paraId="3EADFCE1" w14:textId="77777777" w:rsidR="008B40E2" w:rsidRDefault="008B40E2" w:rsidP="008B40E2">
      <w:pPr>
        <w:pStyle w:val="NoSpacing"/>
      </w:pPr>
    </w:p>
    <w:p w14:paraId="33CB11D1" w14:textId="77777777" w:rsidR="008B40E2" w:rsidRPr="006C61E2" w:rsidRDefault="008B40E2" w:rsidP="008B40E2">
      <w:pPr>
        <w:pStyle w:val="NoSpacing"/>
        <w:rPr>
          <w:b/>
        </w:rPr>
      </w:pPr>
      <w:r w:rsidRPr="006C61E2">
        <w:rPr>
          <w:b/>
        </w:rPr>
        <w:t>Request:</w:t>
      </w:r>
    </w:p>
    <w:p w14:paraId="10773CBF" w14:textId="77777777" w:rsidR="008B40E2" w:rsidRPr="006C61E2" w:rsidRDefault="008B40E2" w:rsidP="008B40E2">
      <w:pPr>
        <w:pStyle w:val="NoSpacing"/>
      </w:pPr>
      <w:r w:rsidRPr="006C61E2">
        <w:t xml:space="preserve">Provide historical information on realized tax liability associated with </w:t>
      </w:r>
      <w:r w:rsidR="00D5526E" w:rsidRPr="006C61E2">
        <w:t xml:space="preserve">Rule 21 export </w:t>
      </w:r>
      <w:r w:rsidRPr="006C61E2">
        <w:t>projects that were given a safe harbor designation to the ITCC charge</w:t>
      </w:r>
      <w:r w:rsidR="00D5526E" w:rsidRPr="006C61E2">
        <w:t>,</w:t>
      </w:r>
      <w:r w:rsidRPr="006C61E2">
        <w:t xml:space="preserve"> losing that safe harbor</w:t>
      </w:r>
      <w:r w:rsidR="00D5526E" w:rsidRPr="006C61E2">
        <w:t>,</w:t>
      </w:r>
      <w:r w:rsidRPr="006C61E2">
        <w:t xml:space="preserve"> and the IOU being required to pay the associated taxes?  </w:t>
      </w:r>
    </w:p>
    <w:p w14:paraId="4962193E" w14:textId="77777777" w:rsidR="008B40E2" w:rsidRPr="006C61E2" w:rsidRDefault="008B40E2"/>
    <w:p w14:paraId="536F3FA8" w14:textId="77777777" w:rsidR="008B40E2" w:rsidRPr="006C61E2" w:rsidRDefault="008B40E2"/>
    <w:p w14:paraId="6DE9EB97" w14:textId="77777777" w:rsidR="008B40E2" w:rsidRPr="006C61E2" w:rsidRDefault="008B40E2" w:rsidP="008B40E2">
      <w:pPr>
        <w:pStyle w:val="NoSpacing"/>
        <w:rPr>
          <w:b/>
        </w:rPr>
      </w:pPr>
      <w:r w:rsidRPr="006C61E2">
        <w:rPr>
          <w:b/>
        </w:rPr>
        <w:t>SCE Response:</w:t>
      </w:r>
    </w:p>
    <w:p w14:paraId="41FFFEB6" w14:textId="77777777" w:rsidR="008B40E2" w:rsidRPr="006C61E2" w:rsidRDefault="008B40E2" w:rsidP="008B40E2">
      <w:pPr>
        <w:pStyle w:val="NoSpacing"/>
      </w:pPr>
      <w:r w:rsidRPr="006C61E2">
        <w:t>Tax authorities have not</w:t>
      </w:r>
      <w:r w:rsidR="00416720" w:rsidRPr="006C61E2">
        <w:t>, as of the date of this response,</w:t>
      </w:r>
      <w:r w:rsidRPr="006C61E2">
        <w:t xml:space="preserve"> audited and assessed a tax liability associated with SCE’s </w:t>
      </w:r>
      <w:r w:rsidR="00D5526E" w:rsidRPr="006C61E2">
        <w:t>61</w:t>
      </w:r>
      <w:r w:rsidRPr="006C61E2">
        <w:t xml:space="preserve"> Rule 21 projects</w:t>
      </w:r>
      <w:r w:rsidR="00A43D48" w:rsidRPr="006C61E2">
        <w:rPr>
          <w:rStyle w:val="FootnoteReference"/>
        </w:rPr>
        <w:footnoteReference w:id="1"/>
      </w:r>
      <w:r w:rsidR="000104F6" w:rsidRPr="006C61E2">
        <w:t xml:space="preserve"> </w:t>
      </w:r>
      <w:r w:rsidRPr="006C61E2">
        <w:t>in which generators attested to sa</w:t>
      </w:r>
      <w:bookmarkStart w:id="0" w:name="_GoBack"/>
      <w:bookmarkEnd w:id="0"/>
      <w:r w:rsidRPr="006C61E2">
        <w:t xml:space="preserve">tisfying the initial Internal Revenue Service safe harbor provisions to </w:t>
      </w:r>
      <w:r w:rsidR="004B1BBA" w:rsidRPr="006C61E2">
        <w:t xml:space="preserve">be excluded from SCE’s taxable income.  SCE relies on the generator’s contractual representation that </w:t>
      </w:r>
      <w:r w:rsidR="00A724C1" w:rsidRPr="006C61E2">
        <w:t xml:space="preserve">1) in light of all the information available at the time the </w:t>
      </w:r>
      <w:r w:rsidR="00D5526E" w:rsidRPr="006C61E2">
        <w:t>intertie</w:t>
      </w:r>
      <w:r w:rsidR="00A724C1" w:rsidRPr="006C61E2">
        <w:t xml:space="preserve"> is contributed, it is reasonably projected that, during the ten taxable years beginning when the intertie is placed in service, no more than 5% of the projected total power flows over the </w:t>
      </w:r>
      <w:r w:rsidR="00D5526E" w:rsidRPr="006C61E2">
        <w:t>intertie</w:t>
      </w:r>
      <w:r w:rsidR="00A724C1" w:rsidRPr="006C61E2">
        <w:t xml:space="preserve"> will flow to the generator,</w:t>
      </w:r>
      <w:r w:rsidR="00986BEF" w:rsidRPr="006C61E2">
        <w:rPr>
          <w:rStyle w:val="FootnoteReference"/>
        </w:rPr>
        <w:footnoteReference w:id="2"/>
      </w:r>
      <w:r w:rsidR="00A724C1" w:rsidRPr="006C61E2">
        <w:t xml:space="preserve"> 2) ownership of the electricity wheeled over SCE’s transmission system remains with the generator prior to its transmission onto the grid</w:t>
      </w:r>
      <w:r w:rsidR="00B92E56" w:rsidRPr="006C61E2">
        <w:t>,</w:t>
      </w:r>
      <w:r w:rsidR="00986BEF" w:rsidRPr="006C61E2">
        <w:rPr>
          <w:rStyle w:val="FootnoteReference"/>
        </w:rPr>
        <w:footnoteReference w:id="3"/>
      </w:r>
      <w:r w:rsidR="00B92E56" w:rsidRPr="006C61E2">
        <w:t xml:space="preserve"> 3) the intertie will be used for transmitting electricity,</w:t>
      </w:r>
      <w:r w:rsidR="00986BEF" w:rsidRPr="006C61E2">
        <w:rPr>
          <w:rStyle w:val="FootnoteReference"/>
        </w:rPr>
        <w:footnoteReference w:id="4"/>
      </w:r>
      <w:r w:rsidR="00B92E56" w:rsidRPr="006C61E2">
        <w:t xml:space="preserve"> and 4) the cost of the intertie is capitalized by the generator as an intangible asset and recovered using the straight-line method over a useful life that is treated as 20 years.</w:t>
      </w:r>
      <w:r w:rsidR="00986BEF" w:rsidRPr="006C61E2">
        <w:rPr>
          <w:rStyle w:val="FootnoteReference"/>
        </w:rPr>
        <w:footnoteReference w:id="5"/>
      </w:r>
      <w:r w:rsidR="00B92E56" w:rsidRPr="006C61E2">
        <w:t xml:space="preserve">  </w:t>
      </w:r>
      <w:r w:rsidR="00C87A66" w:rsidRPr="006C61E2">
        <w:t xml:space="preserve">If </w:t>
      </w:r>
      <w:r w:rsidR="00FF195D" w:rsidRPr="006C61E2">
        <w:t xml:space="preserve">any one of these representations made by a generator </w:t>
      </w:r>
      <w:proofErr w:type="gramStart"/>
      <w:r w:rsidR="00FF195D" w:rsidRPr="006C61E2">
        <w:t>are</w:t>
      </w:r>
      <w:proofErr w:type="gramEnd"/>
      <w:r w:rsidR="00FF195D" w:rsidRPr="006C61E2">
        <w:t xml:space="preserve"> inaccurate</w:t>
      </w:r>
      <w:r w:rsidR="00C87A66" w:rsidRPr="006C61E2">
        <w:t xml:space="preserve">, the </w:t>
      </w:r>
      <w:r w:rsidR="00416720" w:rsidRPr="006C61E2">
        <w:t xml:space="preserve">entire </w:t>
      </w:r>
      <w:r w:rsidR="00C87A66" w:rsidRPr="006C61E2">
        <w:t xml:space="preserve">contribution will be taxable to SCE in the </w:t>
      </w:r>
      <w:r w:rsidR="00634401" w:rsidRPr="006C61E2">
        <w:t xml:space="preserve">year it was placed </w:t>
      </w:r>
      <w:r w:rsidR="007529B7" w:rsidRPr="006C61E2">
        <w:t>in service.  SCE relies on the generator’s</w:t>
      </w:r>
      <w:r w:rsidR="00634401" w:rsidRPr="006C61E2">
        <w:t xml:space="preserve"> representa</w:t>
      </w:r>
      <w:r w:rsidR="007529B7" w:rsidRPr="006C61E2">
        <w:t xml:space="preserve">tions and does </w:t>
      </w:r>
      <w:r w:rsidR="00FF195D" w:rsidRPr="006C61E2">
        <w:t xml:space="preserve">not </w:t>
      </w:r>
      <w:r w:rsidR="007529B7" w:rsidRPr="006C61E2">
        <w:t>independently audit the</w:t>
      </w:r>
      <w:r w:rsidR="0078584E" w:rsidRPr="006C61E2">
        <w:t>se representations</w:t>
      </w:r>
      <w:r w:rsidR="00634401" w:rsidRPr="006C61E2">
        <w:t xml:space="preserve">.  </w:t>
      </w:r>
      <w:r w:rsidR="007529B7" w:rsidRPr="006C61E2">
        <w:t xml:space="preserve">As such, SCE cannot independently </w:t>
      </w:r>
      <w:r w:rsidR="00416720" w:rsidRPr="006C61E2">
        <w:t xml:space="preserve">stipulate </w:t>
      </w:r>
      <w:r w:rsidR="007529B7" w:rsidRPr="006C61E2">
        <w:t xml:space="preserve">that </w:t>
      </w:r>
      <w:proofErr w:type="gramStart"/>
      <w:r w:rsidR="007529B7" w:rsidRPr="006C61E2">
        <w:t xml:space="preserve">these </w:t>
      </w:r>
      <w:r w:rsidR="00D5526E" w:rsidRPr="006C61E2">
        <w:t>61</w:t>
      </w:r>
      <w:r w:rsidR="007529B7" w:rsidRPr="006C61E2">
        <w:t xml:space="preserve"> Rule 21 interconnection</w:t>
      </w:r>
      <w:proofErr w:type="gramEnd"/>
      <w:r w:rsidR="007529B7" w:rsidRPr="006C61E2">
        <w:t xml:space="preserve"> are not taxable with</w:t>
      </w:r>
      <w:r w:rsidR="00C176EB" w:rsidRPr="006C61E2">
        <w:t>out</w:t>
      </w:r>
      <w:r w:rsidR="007529B7" w:rsidRPr="006C61E2">
        <w:t xml:space="preserve"> performing initial audit</w:t>
      </w:r>
      <w:r w:rsidR="00C176EB" w:rsidRPr="006C61E2">
        <w:t>s</w:t>
      </w:r>
      <w:r w:rsidR="007529B7" w:rsidRPr="006C61E2">
        <w:t xml:space="preserve"> </w:t>
      </w:r>
      <w:r w:rsidR="00C176EB" w:rsidRPr="006C61E2">
        <w:t xml:space="preserve">on </w:t>
      </w:r>
      <w:r w:rsidR="007529B7" w:rsidRPr="006C61E2">
        <w:t xml:space="preserve">each </w:t>
      </w:r>
      <w:r w:rsidR="00C176EB" w:rsidRPr="006C61E2">
        <w:t xml:space="preserve">of these </w:t>
      </w:r>
      <w:r w:rsidR="007529B7" w:rsidRPr="006C61E2">
        <w:t>transaction</w:t>
      </w:r>
      <w:r w:rsidR="00C176EB" w:rsidRPr="006C61E2">
        <w:t>s</w:t>
      </w:r>
      <w:r w:rsidR="007529B7" w:rsidRPr="006C61E2">
        <w:t xml:space="preserve"> when </w:t>
      </w:r>
      <w:r w:rsidR="00416720" w:rsidRPr="006C61E2">
        <w:t>they we</w:t>
      </w:r>
      <w:r w:rsidR="00C176EB" w:rsidRPr="006C61E2">
        <w:t xml:space="preserve">re </w:t>
      </w:r>
      <w:r w:rsidR="007529B7" w:rsidRPr="006C61E2">
        <w:t>placed in service.</w:t>
      </w:r>
      <w:r w:rsidR="00BF3150" w:rsidRPr="006C61E2">
        <w:t xml:space="preserve">  The Internal Revenue Service can decide to </w:t>
      </w:r>
      <w:r w:rsidR="0078584E" w:rsidRPr="006C61E2">
        <w:t xml:space="preserve">audit </w:t>
      </w:r>
      <w:r w:rsidR="00F7594B" w:rsidRPr="006C61E2">
        <w:t xml:space="preserve">SCE’s </w:t>
      </w:r>
      <w:r w:rsidR="00D5526E" w:rsidRPr="006C61E2">
        <w:t>61</w:t>
      </w:r>
      <w:r w:rsidR="00BF3150" w:rsidRPr="006C61E2">
        <w:t xml:space="preserve"> Rule 21 interconnections</w:t>
      </w:r>
      <w:r w:rsidR="0078584E" w:rsidRPr="006C61E2">
        <w:t xml:space="preserve"> to verify their nontaxable treatment</w:t>
      </w:r>
      <w:r w:rsidR="00416720" w:rsidRPr="006C61E2">
        <w:t xml:space="preserve"> in the year they were placed in service</w:t>
      </w:r>
      <w:r w:rsidR="0078584E" w:rsidRPr="006C61E2">
        <w:t>.</w:t>
      </w:r>
      <w:r w:rsidR="00BF3150" w:rsidRPr="006C61E2">
        <w:t xml:space="preserve"> </w:t>
      </w:r>
    </w:p>
    <w:p w14:paraId="14DB5387" w14:textId="77777777" w:rsidR="00BB1BF0" w:rsidRPr="006C61E2" w:rsidRDefault="00BB1BF0" w:rsidP="008B40E2">
      <w:pPr>
        <w:pStyle w:val="NoSpacing"/>
      </w:pPr>
    </w:p>
    <w:p w14:paraId="3D20197E" w14:textId="77777777" w:rsidR="00BF3150" w:rsidRPr="006C61E2" w:rsidRDefault="00BF3150" w:rsidP="008B40E2">
      <w:pPr>
        <w:pStyle w:val="NoSpacing"/>
      </w:pPr>
    </w:p>
    <w:p w14:paraId="137EBA23" w14:textId="77777777" w:rsidR="00BF3150" w:rsidRPr="006C61E2" w:rsidRDefault="00A43D48" w:rsidP="008B40E2">
      <w:pPr>
        <w:pStyle w:val="NoSpacing"/>
      </w:pPr>
      <w:r w:rsidRPr="006C61E2">
        <w:t>In addition, t</w:t>
      </w:r>
      <w:r w:rsidR="00BF3150" w:rsidRPr="006C61E2">
        <w:t xml:space="preserve">he tax </w:t>
      </w:r>
      <w:r w:rsidRPr="006C61E2">
        <w:t xml:space="preserve">audit </w:t>
      </w:r>
      <w:r w:rsidR="00BF3150" w:rsidRPr="006C61E2">
        <w:t xml:space="preserve">risk </w:t>
      </w:r>
      <w:r w:rsidRPr="006C61E2">
        <w:t xml:space="preserve">exposure </w:t>
      </w:r>
      <w:r w:rsidR="00BF3150" w:rsidRPr="006C61E2">
        <w:t xml:space="preserve">does not end </w:t>
      </w:r>
      <w:r w:rsidR="00673604" w:rsidRPr="006C61E2">
        <w:t xml:space="preserve">for SCE </w:t>
      </w:r>
      <w:r w:rsidR="00BF3150" w:rsidRPr="006C61E2">
        <w:t>in the year the intertie is placed in service</w:t>
      </w:r>
      <w:r w:rsidR="006074D5" w:rsidRPr="006C61E2">
        <w:t>.  A</w:t>
      </w:r>
      <w:r w:rsidR="00673604" w:rsidRPr="006C61E2">
        <w:t xml:space="preserve">n initial </w:t>
      </w:r>
      <w:r w:rsidR="006074D5" w:rsidRPr="006C61E2">
        <w:t xml:space="preserve">nontaxable interconnection transaction under the IRS safe harbor provisions </w:t>
      </w:r>
      <w:proofErr w:type="gramStart"/>
      <w:r w:rsidR="006074D5" w:rsidRPr="006C61E2">
        <w:t>can</w:t>
      </w:r>
      <w:proofErr w:type="gramEnd"/>
      <w:r w:rsidR="006074D5" w:rsidRPr="006C61E2">
        <w:t xml:space="preserve"> become taxable to SCE in any future </w:t>
      </w:r>
      <w:r w:rsidR="00673604" w:rsidRPr="006C61E2">
        <w:t>tax</w:t>
      </w:r>
      <w:r w:rsidR="006074D5" w:rsidRPr="006C61E2">
        <w:t xml:space="preserve"> year if any of the following events occur.</w:t>
      </w:r>
      <w:r w:rsidR="00BF3150" w:rsidRPr="006C61E2">
        <w:t xml:space="preserve">  </w:t>
      </w:r>
      <w:r w:rsidR="006074D5" w:rsidRPr="006C61E2">
        <w:rPr>
          <w:u w:val="single"/>
        </w:rPr>
        <w:t>Proportionate Disqualification</w:t>
      </w:r>
      <w:r w:rsidR="006074D5" w:rsidRPr="006C61E2">
        <w:t xml:space="preserve"> – If, for each of any three taxable years within any period of five consecutive taxable years, more than 5% of the total power flows over the intertie flow from the utility to the generator, then the generator will be deemed to have made a transfer to the utility that constitutes a taxable contribution in aid of construction pursuant to Internal Revenue Code </w:t>
      </w:r>
      <w:r w:rsidR="006074D5" w:rsidRPr="006C61E2">
        <w:lastRenderedPageBreak/>
        <w:t>Section 118(b).</w:t>
      </w:r>
      <w:r w:rsidR="00673604" w:rsidRPr="006C61E2">
        <w:rPr>
          <w:rStyle w:val="FootnoteReference"/>
        </w:rPr>
        <w:footnoteReference w:id="6"/>
      </w:r>
      <w:r w:rsidR="006074D5" w:rsidRPr="006C61E2">
        <w:t xml:space="preserve">  </w:t>
      </w:r>
      <w:r w:rsidR="006074D5" w:rsidRPr="006C61E2">
        <w:rPr>
          <w:u w:val="single"/>
        </w:rPr>
        <w:t>Termination of Power Purchase Contract</w:t>
      </w:r>
      <w:r w:rsidR="006074D5" w:rsidRPr="006C61E2">
        <w:t xml:space="preserve"> – Upon the termination of a power purchase contract between a generator and a utility, if the utility obtains or retains ownership of the intertie, the generator will be deemed to </w:t>
      </w:r>
      <w:r w:rsidR="00673604" w:rsidRPr="006C61E2">
        <w:t xml:space="preserve">have </w:t>
      </w:r>
      <w:r w:rsidR="006074D5" w:rsidRPr="006C61E2">
        <w:t xml:space="preserve">made a </w:t>
      </w:r>
      <w:r w:rsidR="00F7594B" w:rsidRPr="006C61E2">
        <w:t xml:space="preserve">taxable </w:t>
      </w:r>
      <w:r w:rsidR="006074D5" w:rsidRPr="006C61E2">
        <w:t>contribution to the utility if</w:t>
      </w:r>
      <w:r w:rsidR="00E37C78" w:rsidRPr="006C61E2">
        <w:t xml:space="preserve"> </w:t>
      </w:r>
      <w:r w:rsidR="006074D5" w:rsidRPr="006C61E2">
        <w:t>circumstances indicate an intention by the parties to characterize a contribution of the intertie as a transaction that in substance constitutes a taxable contribution.</w:t>
      </w:r>
      <w:r w:rsidR="00673604" w:rsidRPr="006C61E2">
        <w:rPr>
          <w:rStyle w:val="FootnoteReference"/>
        </w:rPr>
        <w:footnoteReference w:id="7"/>
      </w:r>
      <w:r w:rsidR="0078584E" w:rsidRPr="006C61E2">
        <w:t xml:space="preserve">  The Internal Revenue Service can decide to audit </w:t>
      </w:r>
      <w:r w:rsidR="00F7594B" w:rsidRPr="006C61E2">
        <w:t>SCE’s</w:t>
      </w:r>
      <w:r w:rsidR="0078584E" w:rsidRPr="006C61E2">
        <w:t xml:space="preserve"> </w:t>
      </w:r>
      <w:r w:rsidR="00D5526E" w:rsidRPr="006C61E2">
        <w:t>61</w:t>
      </w:r>
      <w:r w:rsidR="0078584E" w:rsidRPr="006C61E2">
        <w:t xml:space="preserve"> Rule 21 interconnections in any subsequent tax years to verify </w:t>
      </w:r>
      <w:r w:rsidR="00673604" w:rsidRPr="006C61E2">
        <w:t xml:space="preserve">whether </w:t>
      </w:r>
      <w:r w:rsidR="00C560C2" w:rsidRPr="006C61E2">
        <w:t>th</w:t>
      </w:r>
      <w:r w:rsidR="0078584E" w:rsidRPr="006C61E2">
        <w:t xml:space="preserve">ey </w:t>
      </w:r>
      <w:r w:rsidR="00673604" w:rsidRPr="006C61E2">
        <w:t xml:space="preserve">should </w:t>
      </w:r>
      <w:r w:rsidR="0078584E" w:rsidRPr="006C61E2">
        <w:t>continue to be treated as nontaxable to SCE.</w:t>
      </w:r>
    </w:p>
    <w:p w14:paraId="7FB78F80" w14:textId="77777777" w:rsidR="000104F6" w:rsidRPr="006C61E2" w:rsidRDefault="000104F6" w:rsidP="008B40E2">
      <w:pPr>
        <w:pStyle w:val="NoSpacing"/>
      </w:pPr>
    </w:p>
    <w:p w14:paraId="400929F2" w14:textId="77777777" w:rsidR="006074D5" w:rsidRPr="006C61E2" w:rsidRDefault="000104F6" w:rsidP="008B40E2">
      <w:pPr>
        <w:pStyle w:val="NoSpacing"/>
      </w:pPr>
      <w:r w:rsidRPr="006C61E2">
        <w:t xml:space="preserve">The </w:t>
      </w:r>
      <w:r w:rsidR="00D5526E" w:rsidRPr="006C61E2">
        <w:t>61</w:t>
      </w:r>
      <w:r w:rsidRPr="006C61E2">
        <w:t xml:space="preserve"> Rule 21 projects </w:t>
      </w:r>
      <w:r w:rsidR="00AA6E14" w:rsidRPr="006C61E2">
        <w:t xml:space="preserve">over the past ten years </w:t>
      </w:r>
      <w:r w:rsidRPr="006C61E2">
        <w:t>in which generators attested to satisfying the initial Internal Revenue Service safe harbor provisions to be excluded from SCE’s taxable income</w:t>
      </w:r>
      <w:r w:rsidR="00702E84" w:rsidRPr="006C61E2">
        <w:t xml:space="preserve"> represent</w:t>
      </w:r>
      <w:r w:rsidRPr="006C61E2">
        <w:t xml:space="preserve"> </w:t>
      </w:r>
      <w:r w:rsidR="00702E84" w:rsidRPr="006C61E2">
        <w:t xml:space="preserve">a </w:t>
      </w:r>
      <w:r w:rsidRPr="006C61E2">
        <w:t xml:space="preserve">total </w:t>
      </w:r>
      <w:r w:rsidR="00702E84" w:rsidRPr="006C61E2">
        <w:t>nontaxable contribution amount</w:t>
      </w:r>
      <w:r w:rsidRPr="006C61E2">
        <w:t xml:space="preserve"> of approximately $</w:t>
      </w:r>
      <w:r w:rsidR="00D5526E" w:rsidRPr="006C61E2">
        <w:t>15</w:t>
      </w:r>
      <w:r w:rsidRPr="006C61E2">
        <w:t>.</w:t>
      </w:r>
      <w:r w:rsidR="00D5526E" w:rsidRPr="006C61E2">
        <w:t>0</w:t>
      </w:r>
      <w:r w:rsidRPr="006C61E2">
        <w:t xml:space="preserve"> million with </w:t>
      </w:r>
      <w:r w:rsidR="00465C07" w:rsidRPr="006C61E2">
        <w:t>a</w:t>
      </w:r>
      <w:r w:rsidR="00702E84" w:rsidRPr="006C61E2">
        <w:t xml:space="preserve"> </w:t>
      </w:r>
      <w:r w:rsidRPr="006C61E2">
        <w:t xml:space="preserve">related </w:t>
      </w:r>
      <w:r w:rsidR="00465C07" w:rsidRPr="006C61E2">
        <w:t xml:space="preserve">total </w:t>
      </w:r>
      <w:r w:rsidRPr="006C61E2">
        <w:t xml:space="preserve">ITCC security </w:t>
      </w:r>
      <w:r w:rsidR="00702E84" w:rsidRPr="006C61E2">
        <w:t xml:space="preserve">amount </w:t>
      </w:r>
      <w:r w:rsidRPr="006C61E2">
        <w:t>of approximately $2.4 million.</w:t>
      </w:r>
      <w:r w:rsidR="00C708FB" w:rsidRPr="006C61E2">
        <w:t xml:space="preserve">  </w:t>
      </w:r>
      <w:r w:rsidR="00BB1BF0" w:rsidRPr="006C61E2">
        <w:t xml:space="preserve">Should an interconnection customer be unable to make the </w:t>
      </w:r>
      <w:r w:rsidR="006C61E2" w:rsidRPr="006C61E2">
        <w:t>indemnification</w:t>
      </w:r>
      <w:r w:rsidR="00BB1BF0" w:rsidRPr="006C61E2">
        <w:t xml:space="preserve"> payment, the utility would be </w:t>
      </w:r>
      <w:r w:rsidR="006C61E2" w:rsidRPr="006C61E2">
        <w:t>exposed</w:t>
      </w:r>
      <w:r w:rsidR="00BB1BF0" w:rsidRPr="006C61E2">
        <w:t xml:space="preserve"> to a loss since the facility cost </w:t>
      </w:r>
      <w:r w:rsidR="006C61E2" w:rsidRPr="006C61E2">
        <w:t>responsibility</w:t>
      </w:r>
      <w:r w:rsidR="00BB1BF0" w:rsidRPr="006C61E2">
        <w:t xml:space="preserve"> is directly assigned to the </w:t>
      </w:r>
      <w:r w:rsidR="006C61E2">
        <w:t>i</w:t>
      </w:r>
      <w:r w:rsidR="00BB1BF0" w:rsidRPr="006C61E2">
        <w:t xml:space="preserve">nterconnection </w:t>
      </w:r>
      <w:r w:rsidR="006C61E2">
        <w:t>c</w:t>
      </w:r>
      <w:r w:rsidR="00BB1BF0" w:rsidRPr="006C61E2">
        <w:t xml:space="preserve">ustomer and the utility </w:t>
      </w:r>
      <w:r w:rsidR="006C61E2" w:rsidRPr="006C61E2">
        <w:t xml:space="preserve">is not able to recover these costs from other customers.  Accordingly, the collection of a security instrument that covers the cost consequence of the tax liability is appropriate. </w:t>
      </w:r>
    </w:p>
    <w:p w14:paraId="3A9AF9EA" w14:textId="77777777" w:rsidR="006074D5" w:rsidRPr="006C61E2" w:rsidRDefault="006074D5" w:rsidP="008B40E2">
      <w:pPr>
        <w:pStyle w:val="NoSpacing"/>
      </w:pPr>
    </w:p>
    <w:p w14:paraId="6672470B" w14:textId="77777777" w:rsidR="008B40E2" w:rsidRPr="006C61E2" w:rsidRDefault="008B40E2"/>
    <w:sectPr w:rsidR="008B40E2" w:rsidRPr="006C61E2" w:rsidSect="00816FA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78ADE" w14:textId="77777777" w:rsidR="00042952" w:rsidRDefault="00042952" w:rsidP="00986BEF">
      <w:r>
        <w:separator/>
      </w:r>
    </w:p>
  </w:endnote>
  <w:endnote w:type="continuationSeparator" w:id="0">
    <w:p w14:paraId="2D244B88" w14:textId="77777777" w:rsidR="00042952" w:rsidRDefault="00042952" w:rsidP="0098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497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DE87A" w14:textId="77777777" w:rsidR="009A2684" w:rsidRDefault="00816FA3">
        <w:pPr>
          <w:pStyle w:val="Footer"/>
          <w:jc w:val="center"/>
        </w:pPr>
        <w:r>
          <w:fldChar w:fldCharType="begin"/>
        </w:r>
        <w:r w:rsidR="009A2684">
          <w:instrText xml:space="preserve"> PAGE   \* MERGEFORMAT </w:instrText>
        </w:r>
        <w:r>
          <w:fldChar w:fldCharType="separate"/>
        </w:r>
        <w:r w:rsidR="00DB3B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9C582D" w14:textId="77777777" w:rsidR="009A2684" w:rsidRDefault="009A26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C644F" w14:textId="77777777" w:rsidR="00042952" w:rsidRDefault="00042952" w:rsidP="00986BEF">
      <w:r>
        <w:separator/>
      </w:r>
    </w:p>
  </w:footnote>
  <w:footnote w:type="continuationSeparator" w:id="0">
    <w:p w14:paraId="1979EFBA" w14:textId="77777777" w:rsidR="00042952" w:rsidRDefault="00042952" w:rsidP="00986BEF">
      <w:r>
        <w:continuationSeparator/>
      </w:r>
    </w:p>
  </w:footnote>
  <w:footnote w:id="1">
    <w:p w14:paraId="756B25CF" w14:textId="77777777" w:rsidR="00A43D48" w:rsidRDefault="00A43D48">
      <w:pPr>
        <w:pStyle w:val="FootnoteText"/>
      </w:pPr>
      <w:r>
        <w:rPr>
          <w:rStyle w:val="FootnoteReference"/>
        </w:rPr>
        <w:footnoteRef/>
      </w:r>
      <w:r>
        <w:t xml:space="preserve">  A </w:t>
      </w:r>
      <w:proofErr w:type="gramStart"/>
      <w:r>
        <w:t>ten year</w:t>
      </w:r>
      <w:proofErr w:type="gramEnd"/>
      <w:r>
        <w:t xml:space="preserve"> period was utilized for purposes of this response. </w:t>
      </w:r>
    </w:p>
  </w:footnote>
  <w:footnote w:id="2">
    <w:p w14:paraId="2A96707C" w14:textId="77777777" w:rsidR="00986BEF" w:rsidRDefault="00986BEF">
      <w:pPr>
        <w:pStyle w:val="FootnoteText"/>
      </w:pPr>
      <w:r>
        <w:rPr>
          <w:rStyle w:val="FootnoteReference"/>
        </w:rPr>
        <w:footnoteRef/>
      </w:r>
      <w:r>
        <w:t xml:space="preserve">  Section III.C.1.a. </w:t>
      </w:r>
      <w:proofErr w:type="gramStart"/>
      <w:r>
        <w:t>of</w:t>
      </w:r>
      <w:proofErr w:type="gramEnd"/>
      <w:r>
        <w:t xml:space="preserve"> IRS Notice 2016-36</w:t>
      </w:r>
    </w:p>
  </w:footnote>
  <w:footnote w:id="3">
    <w:p w14:paraId="6866094E" w14:textId="77777777" w:rsidR="00986BEF" w:rsidRDefault="00986BEF">
      <w:pPr>
        <w:pStyle w:val="FootnoteText"/>
      </w:pPr>
      <w:r>
        <w:rPr>
          <w:rStyle w:val="FootnoteReference"/>
        </w:rPr>
        <w:footnoteRef/>
      </w:r>
      <w:r>
        <w:t xml:space="preserve">  Section III.C.2. </w:t>
      </w:r>
      <w:proofErr w:type="gramStart"/>
      <w:r>
        <w:t>of</w:t>
      </w:r>
      <w:proofErr w:type="gramEnd"/>
      <w:r>
        <w:t xml:space="preserve"> IRS Notice 2016-36</w:t>
      </w:r>
    </w:p>
  </w:footnote>
  <w:footnote w:id="4">
    <w:p w14:paraId="2D7FE162" w14:textId="77777777" w:rsidR="00986BEF" w:rsidRDefault="00986BEF">
      <w:pPr>
        <w:pStyle w:val="FootnoteText"/>
      </w:pPr>
      <w:r>
        <w:rPr>
          <w:rStyle w:val="FootnoteReference"/>
        </w:rPr>
        <w:footnoteRef/>
      </w:r>
      <w:r>
        <w:t xml:space="preserve">  Section III.C.4. </w:t>
      </w:r>
      <w:proofErr w:type="gramStart"/>
      <w:r>
        <w:t>of</w:t>
      </w:r>
      <w:proofErr w:type="gramEnd"/>
      <w:r>
        <w:t xml:space="preserve"> IRS Notice 2016-36</w:t>
      </w:r>
    </w:p>
  </w:footnote>
  <w:footnote w:id="5">
    <w:p w14:paraId="1DF64399" w14:textId="77777777" w:rsidR="00986BEF" w:rsidRDefault="00986BEF">
      <w:pPr>
        <w:pStyle w:val="FootnoteText"/>
      </w:pPr>
      <w:r>
        <w:rPr>
          <w:rStyle w:val="FootnoteReference"/>
        </w:rPr>
        <w:footnoteRef/>
      </w:r>
      <w:r>
        <w:t xml:space="preserve">  Section III.C.5. </w:t>
      </w:r>
      <w:proofErr w:type="gramStart"/>
      <w:r>
        <w:t>of</w:t>
      </w:r>
      <w:proofErr w:type="gramEnd"/>
      <w:r>
        <w:t xml:space="preserve"> IRS Notice 2016-36</w:t>
      </w:r>
    </w:p>
  </w:footnote>
  <w:footnote w:id="6">
    <w:p w14:paraId="0B8BF3A4" w14:textId="77777777" w:rsidR="00673604" w:rsidRDefault="00673604">
      <w:pPr>
        <w:pStyle w:val="FootnoteText"/>
      </w:pPr>
      <w:r>
        <w:rPr>
          <w:rStyle w:val="FootnoteReference"/>
        </w:rPr>
        <w:footnoteRef/>
      </w:r>
      <w:r>
        <w:t xml:space="preserve">  Section IV.A. </w:t>
      </w:r>
      <w:proofErr w:type="gramStart"/>
      <w:r>
        <w:t>of</w:t>
      </w:r>
      <w:proofErr w:type="gramEnd"/>
      <w:r>
        <w:t xml:space="preserve"> IRS Notice 2016-36</w:t>
      </w:r>
    </w:p>
  </w:footnote>
  <w:footnote w:id="7">
    <w:p w14:paraId="130E90C1" w14:textId="77777777" w:rsidR="00673604" w:rsidRDefault="00673604">
      <w:pPr>
        <w:pStyle w:val="FootnoteText"/>
      </w:pPr>
      <w:r>
        <w:rPr>
          <w:rStyle w:val="FootnoteReference"/>
        </w:rPr>
        <w:footnoteRef/>
      </w:r>
      <w:r>
        <w:t xml:space="preserve">  Section IV.B. </w:t>
      </w:r>
      <w:proofErr w:type="gramStart"/>
      <w:r>
        <w:t>of</w:t>
      </w:r>
      <w:proofErr w:type="gramEnd"/>
      <w:r>
        <w:t xml:space="preserve"> IRS Notice 2016-36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D59"/>
    <w:multiLevelType w:val="multilevel"/>
    <w:tmpl w:val="EAF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ryn Enright">
    <w15:presenceInfo w15:providerId="AD" w15:userId="S-1-5-21-2559334742-469970549-2024990295-11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E2"/>
    <w:rsid w:val="000104F6"/>
    <w:rsid w:val="00042952"/>
    <w:rsid w:val="00050A3F"/>
    <w:rsid w:val="0006473A"/>
    <w:rsid w:val="000929DF"/>
    <w:rsid w:val="000C4764"/>
    <w:rsid w:val="00115657"/>
    <w:rsid w:val="00193F8B"/>
    <w:rsid w:val="00416720"/>
    <w:rsid w:val="00465C07"/>
    <w:rsid w:val="004B1BBA"/>
    <w:rsid w:val="004B7DE2"/>
    <w:rsid w:val="004C1DDC"/>
    <w:rsid w:val="00503926"/>
    <w:rsid w:val="005D5683"/>
    <w:rsid w:val="006074D5"/>
    <w:rsid w:val="00634401"/>
    <w:rsid w:val="00673604"/>
    <w:rsid w:val="006C61E2"/>
    <w:rsid w:val="00702E84"/>
    <w:rsid w:val="007529B7"/>
    <w:rsid w:val="0078584E"/>
    <w:rsid w:val="00816FA3"/>
    <w:rsid w:val="00847A78"/>
    <w:rsid w:val="008B40E2"/>
    <w:rsid w:val="00986BEF"/>
    <w:rsid w:val="009A2684"/>
    <w:rsid w:val="009E4D39"/>
    <w:rsid w:val="00A43D48"/>
    <w:rsid w:val="00A724C1"/>
    <w:rsid w:val="00AA6E14"/>
    <w:rsid w:val="00B92E56"/>
    <w:rsid w:val="00BB1BF0"/>
    <w:rsid w:val="00BF3150"/>
    <w:rsid w:val="00C176EB"/>
    <w:rsid w:val="00C560C2"/>
    <w:rsid w:val="00C708FB"/>
    <w:rsid w:val="00C87A66"/>
    <w:rsid w:val="00C94883"/>
    <w:rsid w:val="00CA66CE"/>
    <w:rsid w:val="00D5526E"/>
    <w:rsid w:val="00DB3B2C"/>
    <w:rsid w:val="00E37C78"/>
    <w:rsid w:val="00E97FE3"/>
    <w:rsid w:val="00F7594B"/>
    <w:rsid w:val="00FE2299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B63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0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B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BE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B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0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8F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8FB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68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68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0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B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BE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B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0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8F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8FB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68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6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2F5A-7F80-124D-8C25-6CEE3264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L Lopez</dc:creator>
  <cp:lastModifiedBy>Brad Heavner</cp:lastModifiedBy>
  <cp:revision>2</cp:revision>
  <cp:lastPrinted>2018-01-18T20:11:00Z</cp:lastPrinted>
  <dcterms:created xsi:type="dcterms:W3CDTF">2018-01-26T08:17:00Z</dcterms:created>
  <dcterms:modified xsi:type="dcterms:W3CDTF">2018-01-26T08:17:00Z</dcterms:modified>
</cp:coreProperties>
</file>