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E67BF6" w14:textId="42AB8D38" w:rsidR="00556B2D" w:rsidRPr="00F91788" w:rsidRDefault="004C66DF" w:rsidP="009D4761">
      <w:pPr>
        <w:jc w:val="center"/>
        <w:outlineLvl w:val="0"/>
        <w:rPr>
          <w:rFonts w:asciiTheme="minorHAnsi" w:hAnsiTheme="minorHAnsi"/>
          <w:b/>
        </w:rPr>
      </w:pPr>
      <w:r w:rsidRPr="00F91788">
        <w:rPr>
          <w:rFonts w:asciiTheme="minorHAnsi" w:hAnsiTheme="minorHAnsi"/>
          <w:b/>
        </w:rPr>
        <w:t>Issue</w:t>
      </w:r>
      <w:r w:rsidR="00A01943" w:rsidRPr="00F91788">
        <w:rPr>
          <w:rFonts w:asciiTheme="minorHAnsi" w:hAnsiTheme="minorHAnsi"/>
          <w:b/>
        </w:rPr>
        <w:t xml:space="preserve"> 3</w:t>
      </w:r>
      <w:r w:rsidR="00556B2D" w:rsidRPr="00F91788">
        <w:rPr>
          <w:rFonts w:asciiTheme="minorHAnsi" w:hAnsiTheme="minorHAnsi"/>
          <w:b/>
        </w:rPr>
        <w:t xml:space="preserve"> </w:t>
      </w:r>
      <w:proofErr w:type="gramStart"/>
      <w:r w:rsidR="00556B2D" w:rsidRPr="00F91788">
        <w:rPr>
          <w:rFonts w:asciiTheme="minorHAnsi" w:hAnsiTheme="minorHAnsi"/>
          <w:b/>
        </w:rPr>
        <w:t>Proposal</w:t>
      </w:r>
      <w:proofErr w:type="gramEnd"/>
    </w:p>
    <w:p w14:paraId="0A2E476A" w14:textId="77777777" w:rsidR="00556B2D" w:rsidRPr="00F91788" w:rsidRDefault="00556B2D" w:rsidP="009D4761">
      <w:pPr>
        <w:jc w:val="center"/>
        <w:outlineLvl w:val="0"/>
        <w:rPr>
          <w:rFonts w:asciiTheme="minorHAnsi" w:hAnsiTheme="minorHAnsi"/>
        </w:rPr>
      </w:pPr>
      <w:r w:rsidRPr="00F91788">
        <w:rPr>
          <w:rFonts w:asciiTheme="minorHAnsi" w:hAnsiTheme="minorHAnsi"/>
        </w:rPr>
        <w:t>Working Group One</w:t>
      </w:r>
    </w:p>
    <w:p w14:paraId="2C766615" w14:textId="77777777" w:rsidR="00556B2D" w:rsidRPr="00F91788" w:rsidRDefault="00556B2D" w:rsidP="009D4761">
      <w:pPr>
        <w:jc w:val="center"/>
        <w:outlineLvl w:val="0"/>
        <w:rPr>
          <w:rFonts w:asciiTheme="minorHAnsi" w:hAnsiTheme="minorHAnsi"/>
        </w:rPr>
      </w:pPr>
      <w:r w:rsidRPr="00F91788">
        <w:rPr>
          <w:rFonts w:asciiTheme="minorHAnsi" w:hAnsiTheme="minorHAnsi"/>
        </w:rPr>
        <w:t>R.17-07-007</w:t>
      </w:r>
    </w:p>
    <w:p w14:paraId="5536EC6C" w14:textId="2AF30220" w:rsidR="00556B2D" w:rsidRPr="00F91788" w:rsidRDefault="00556B2D" w:rsidP="009D4761">
      <w:pPr>
        <w:jc w:val="center"/>
        <w:outlineLvl w:val="0"/>
        <w:rPr>
          <w:rFonts w:asciiTheme="minorHAnsi" w:hAnsiTheme="minorHAnsi"/>
          <w:i/>
          <w:color w:val="FF0000"/>
        </w:rPr>
      </w:pPr>
      <w:r w:rsidRPr="00F91788">
        <w:rPr>
          <w:rFonts w:asciiTheme="minorHAnsi" w:hAnsiTheme="minorHAnsi"/>
          <w:i/>
          <w:color w:val="FF0000"/>
        </w:rPr>
        <w:t xml:space="preserve">DRAFT </w:t>
      </w:r>
      <w:r w:rsidR="0084542B" w:rsidRPr="00F91788">
        <w:rPr>
          <w:rFonts w:asciiTheme="minorHAnsi" w:hAnsiTheme="minorHAnsi"/>
          <w:i/>
          <w:color w:val="FF0000"/>
        </w:rPr>
        <w:t xml:space="preserve">FOR DISCUSSION PURPOSES ONLY </w:t>
      </w:r>
    </w:p>
    <w:p w14:paraId="3718DF4D" w14:textId="77777777" w:rsidR="00556B2D" w:rsidRPr="00F91788" w:rsidRDefault="00556B2D" w:rsidP="00044A91">
      <w:pPr>
        <w:jc w:val="center"/>
        <w:rPr>
          <w:rFonts w:asciiTheme="minorHAnsi" w:hAnsiTheme="minorHAnsi"/>
          <w:b/>
        </w:rPr>
      </w:pPr>
    </w:p>
    <w:p w14:paraId="195F9A97" w14:textId="4B294684" w:rsidR="00044A91" w:rsidRPr="00F91788" w:rsidRDefault="00556B2D" w:rsidP="004213BB">
      <w:pPr>
        <w:jc w:val="center"/>
        <w:rPr>
          <w:rFonts w:asciiTheme="minorHAnsi" w:hAnsiTheme="minorHAnsi"/>
          <w:b/>
          <w:i/>
        </w:rPr>
      </w:pPr>
      <w:r w:rsidRPr="00F91788">
        <w:rPr>
          <w:rFonts w:asciiTheme="minorHAnsi" w:hAnsiTheme="minorHAnsi"/>
          <w:i/>
        </w:rPr>
        <w:t xml:space="preserve">Issue </w:t>
      </w:r>
      <w:r w:rsidR="00A01943" w:rsidRPr="00F91788">
        <w:rPr>
          <w:rFonts w:asciiTheme="minorHAnsi" w:hAnsiTheme="minorHAnsi"/>
          <w:i/>
        </w:rPr>
        <w:t>3</w:t>
      </w:r>
      <w:r w:rsidRPr="00F91788">
        <w:rPr>
          <w:rFonts w:asciiTheme="minorHAnsi" w:hAnsiTheme="minorHAnsi"/>
          <w:i/>
        </w:rPr>
        <w:t>:</w:t>
      </w:r>
      <w:r w:rsidR="00044A91" w:rsidRPr="00F91788">
        <w:rPr>
          <w:rFonts w:asciiTheme="minorHAnsi" w:hAnsiTheme="minorHAnsi"/>
          <w:i/>
        </w:rPr>
        <w:t xml:space="preserve"> </w:t>
      </w:r>
      <w:r w:rsidR="00A01943" w:rsidRPr="00F91788">
        <w:rPr>
          <w:rFonts w:asciiTheme="minorHAnsi" w:hAnsiTheme="minorHAnsi"/>
          <w:i/>
        </w:rPr>
        <w:t>How should the Commission clarify the definition of a “material modification” to a project and what should be the procedures for processing these modifications?</w:t>
      </w:r>
    </w:p>
    <w:p w14:paraId="195F9A98" w14:textId="77777777" w:rsidR="00044A91" w:rsidRPr="00F91788" w:rsidRDefault="00044A91" w:rsidP="00044A91">
      <w:pPr>
        <w:jc w:val="center"/>
        <w:rPr>
          <w:rFonts w:asciiTheme="minorHAnsi" w:hAnsiTheme="minorHAnsi"/>
          <w:b/>
          <w:color w:val="000000"/>
        </w:rPr>
      </w:pPr>
    </w:p>
    <w:p w14:paraId="15B08068" w14:textId="7F9162B9" w:rsidR="004213BB" w:rsidRPr="00F91788" w:rsidRDefault="004213BB" w:rsidP="00EE6766">
      <w:pPr>
        <w:pStyle w:val="ListParagraph"/>
        <w:numPr>
          <w:ilvl w:val="0"/>
          <w:numId w:val="28"/>
        </w:numPr>
        <w:rPr>
          <w:rFonts w:asciiTheme="majorHAnsi" w:hAnsiTheme="majorHAnsi"/>
          <w:b/>
        </w:rPr>
      </w:pPr>
      <w:r w:rsidRPr="00F91788">
        <w:rPr>
          <w:rFonts w:asciiTheme="majorHAnsi" w:hAnsiTheme="majorHAnsi"/>
          <w:b/>
        </w:rPr>
        <w:t>Proposal Summary</w:t>
      </w:r>
    </w:p>
    <w:p w14:paraId="29FE603E" w14:textId="77777777" w:rsidR="00EE6766" w:rsidRPr="00F91788" w:rsidRDefault="00EE6766" w:rsidP="00EE6766">
      <w:pPr>
        <w:rPr>
          <w:rFonts w:asciiTheme="minorHAnsi" w:hAnsiTheme="minorHAnsi"/>
          <w:b/>
          <w:u w:val="single"/>
        </w:rPr>
      </w:pPr>
    </w:p>
    <w:p w14:paraId="5A642609" w14:textId="77777777" w:rsidR="00583657" w:rsidRPr="00F91788" w:rsidRDefault="004213BB" w:rsidP="00583657">
      <w:pPr>
        <w:rPr>
          <w:highlight w:val="yellow"/>
        </w:rPr>
      </w:pPr>
      <w:r w:rsidRPr="00F91788">
        <w:rPr>
          <w:highlight w:val="yellow"/>
        </w:rPr>
        <w:t>T</w:t>
      </w:r>
      <w:r w:rsidR="00E73448" w:rsidRPr="00F91788">
        <w:rPr>
          <w:highlight w:val="yellow"/>
        </w:rPr>
        <w:t>he Commission</w:t>
      </w:r>
      <w:r w:rsidR="00583657" w:rsidRPr="00F91788">
        <w:rPr>
          <w:highlight w:val="yellow"/>
        </w:rPr>
        <w:t xml:space="preserve"> should:</w:t>
      </w:r>
    </w:p>
    <w:p w14:paraId="4DD19CF7" w14:textId="77777777" w:rsidR="00583657" w:rsidRPr="00F91788" w:rsidRDefault="00583657" w:rsidP="00583657">
      <w:pPr>
        <w:rPr>
          <w:highlight w:val="yellow"/>
        </w:rPr>
      </w:pPr>
    </w:p>
    <w:p w14:paraId="195F9A99" w14:textId="2C2E04F8" w:rsidR="00044A91" w:rsidRPr="00F91788" w:rsidRDefault="00044A91" w:rsidP="00EE6766">
      <w:pPr>
        <w:pStyle w:val="ListParagraph"/>
        <w:numPr>
          <w:ilvl w:val="0"/>
          <w:numId w:val="28"/>
        </w:numPr>
        <w:rPr>
          <w:rFonts w:asciiTheme="majorHAnsi" w:hAnsiTheme="majorHAnsi"/>
          <w:b/>
        </w:rPr>
      </w:pPr>
      <w:r w:rsidRPr="00F91788">
        <w:rPr>
          <w:rFonts w:asciiTheme="majorHAnsi" w:hAnsiTheme="majorHAnsi"/>
          <w:b/>
        </w:rPr>
        <w:t xml:space="preserve">Background </w:t>
      </w:r>
    </w:p>
    <w:p w14:paraId="200BEDFB" w14:textId="663B728B" w:rsidR="00A01943" w:rsidRPr="00F91788" w:rsidRDefault="00A01943" w:rsidP="00583657">
      <w:pPr>
        <w:pStyle w:val="ListParagraph"/>
        <w:rPr>
          <w:rFonts w:asciiTheme="majorHAnsi" w:hAnsiTheme="majorHAnsi"/>
          <w:b/>
        </w:rPr>
      </w:pPr>
    </w:p>
    <w:p w14:paraId="04B56A7D" w14:textId="54C1F719" w:rsidR="00A01943" w:rsidRPr="00CB5F1D"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color w:val="000000"/>
          <w:sz w:val="22"/>
          <w:szCs w:val="22"/>
        </w:rPr>
        <w:t xml:space="preserve">A </w:t>
      </w:r>
      <w:r w:rsidR="00583657" w:rsidRPr="00CB5F1D">
        <w:rPr>
          <w:rFonts w:asciiTheme="minorHAnsi" w:hAnsiTheme="minorHAnsi" w:cstheme="minorHAnsi"/>
          <w:color w:val="000000"/>
          <w:sz w:val="22"/>
          <w:szCs w:val="22"/>
        </w:rPr>
        <w:t xml:space="preserve">Material Modification </w:t>
      </w:r>
      <w:r w:rsidR="00B4330D" w:rsidRPr="00CB5F1D">
        <w:rPr>
          <w:rFonts w:asciiTheme="minorHAnsi" w:hAnsiTheme="minorHAnsi" w:cstheme="minorHAnsi"/>
          <w:color w:val="000000"/>
          <w:sz w:val="22"/>
          <w:szCs w:val="22"/>
        </w:rPr>
        <w:t xml:space="preserve">is currently </w:t>
      </w:r>
      <w:r w:rsidR="00583657" w:rsidRPr="00CB5F1D">
        <w:rPr>
          <w:rFonts w:asciiTheme="minorHAnsi" w:hAnsiTheme="minorHAnsi" w:cstheme="minorHAnsi"/>
          <w:color w:val="000000"/>
          <w:sz w:val="22"/>
          <w:szCs w:val="22"/>
        </w:rPr>
        <w:t xml:space="preserve">defined </w:t>
      </w:r>
      <w:r w:rsidR="00B4330D" w:rsidRPr="00CB5F1D">
        <w:rPr>
          <w:rFonts w:asciiTheme="minorHAnsi" w:hAnsiTheme="minorHAnsi" w:cstheme="minorHAnsi"/>
          <w:color w:val="000000"/>
          <w:sz w:val="22"/>
          <w:szCs w:val="22"/>
        </w:rPr>
        <w:t xml:space="preserve">within the Rule 21 tariff as: </w:t>
      </w:r>
    </w:p>
    <w:p w14:paraId="3EC2E8A5" w14:textId="77777777" w:rsidR="00A01943" w:rsidRPr="00CB5F1D" w:rsidRDefault="00A01943" w:rsidP="00A01943">
      <w:pPr>
        <w:adjustRightInd w:val="0"/>
        <w:ind w:left="720"/>
        <w:rPr>
          <w:i/>
        </w:rPr>
      </w:pPr>
      <w:r w:rsidRPr="00CB5F1D">
        <w:rPr>
          <w:i/>
        </w:rPr>
        <w:t>Those modifications that have a material impact on cost or timing of any Interconnection Request with a later queue priority date or a change in Point of Interconnection. A Material Modification does not include a change in ownership of a Generating Facility. (Section C, page 25)</w:t>
      </w:r>
      <w:r w:rsidRPr="00CB5F1D">
        <w:rPr>
          <w:rStyle w:val="FootnoteReference"/>
          <w:i/>
        </w:rPr>
        <w:footnoteReference w:id="1"/>
      </w:r>
    </w:p>
    <w:p w14:paraId="380B9673" w14:textId="77777777" w:rsidR="006E7A7C" w:rsidRPr="00CB5F1D" w:rsidRDefault="006E7A7C" w:rsidP="00A01943">
      <w:pPr>
        <w:adjustRightInd w:val="0"/>
        <w:ind w:left="720"/>
        <w:rPr>
          <w:i/>
        </w:rPr>
      </w:pPr>
    </w:p>
    <w:p w14:paraId="3E5CDCED" w14:textId="7960343B" w:rsidR="001067FE" w:rsidRPr="00CB5F1D" w:rsidRDefault="00583657"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color w:val="000000"/>
          <w:sz w:val="22"/>
          <w:szCs w:val="22"/>
        </w:rPr>
        <w:t>Modifications are from time to time necessary to accommodate changing business conditions</w:t>
      </w:r>
      <w:r w:rsidR="001067FE" w:rsidRPr="00CB5F1D">
        <w:rPr>
          <w:rFonts w:asciiTheme="minorHAnsi" w:hAnsiTheme="minorHAnsi" w:cstheme="minorHAnsi"/>
          <w:color w:val="000000"/>
          <w:sz w:val="22"/>
          <w:szCs w:val="22"/>
        </w:rPr>
        <w:t xml:space="preserve"> and</w:t>
      </w:r>
      <w:r w:rsidRPr="00CB5F1D">
        <w:rPr>
          <w:rFonts w:asciiTheme="minorHAnsi" w:hAnsiTheme="minorHAnsi" w:cstheme="minorHAnsi"/>
          <w:color w:val="000000"/>
          <w:sz w:val="22"/>
          <w:szCs w:val="22"/>
        </w:rPr>
        <w:t xml:space="preserve"> </w:t>
      </w:r>
      <w:r w:rsidR="001067FE" w:rsidRPr="00CB5F1D">
        <w:rPr>
          <w:rFonts w:asciiTheme="minorHAnsi" w:hAnsiTheme="minorHAnsi" w:cstheme="minorHAnsi"/>
          <w:color w:val="000000"/>
          <w:sz w:val="22"/>
          <w:szCs w:val="22"/>
        </w:rPr>
        <w:t xml:space="preserve">the current </w:t>
      </w:r>
      <w:r w:rsidRPr="00CB5F1D">
        <w:rPr>
          <w:rFonts w:asciiTheme="minorHAnsi" w:hAnsiTheme="minorHAnsi" w:cstheme="minorHAnsi"/>
          <w:color w:val="000000"/>
          <w:sz w:val="22"/>
          <w:szCs w:val="22"/>
        </w:rPr>
        <w:t xml:space="preserve">Rule 21 </w:t>
      </w:r>
      <w:r w:rsidR="001067FE" w:rsidRPr="00CB5F1D">
        <w:rPr>
          <w:rFonts w:asciiTheme="minorHAnsi" w:hAnsiTheme="minorHAnsi" w:cstheme="minorHAnsi"/>
          <w:color w:val="000000"/>
          <w:sz w:val="22"/>
          <w:szCs w:val="22"/>
        </w:rPr>
        <w:t xml:space="preserve">Tariff facilitates some </w:t>
      </w:r>
      <w:r w:rsidRPr="00CB5F1D">
        <w:rPr>
          <w:rFonts w:asciiTheme="minorHAnsi" w:hAnsiTheme="minorHAnsi" w:cstheme="minorHAnsi"/>
          <w:color w:val="000000"/>
          <w:sz w:val="22"/>
          <w:szCs w:val="22"/>
        </w:rPr>
        <w:t>modifications</w:t>
      </w:r>
      <w:r w:rsidR="001067FE" w:rsidRPr="00CB5F1D">
        <w:rPr>
          <w:rFonts w:asciiTheme="minorHAnsi" w:hAnsiTheme="minorHAnsi" w:cstheme="minorHAnsi"/>
          <w:color w:val="000000"/>
          <w:sz w:val="22"/>
          <w:szCs w:val="22"/>
        </w:rPr>
        <w:t xml:space="preserve"> to be made without the need for </w:t>
      </w:r>
      <w:r w:rsidR="002A2011" w:rsidRPr="00CB5F1D">
        <w:rPr>
          <w:rFonts w:asciiTheme="minorHAnsi" w:hAnsiTheme="minorHAnsi" w:cstheme="minorHAnsi"/>
          <w:color w:val="000000"/>
          <w:sz w:val="22"/>
          <w:szCs w:val="22"/>
        </w:rPr>
        <w:t xml:space="preserve">an applicant </w:t>
      </w:r>
      <w:r w:rsidR="001067FE" w:rsidRPr="00CB5F1D">
        <w:rPr>
          <w:rFonts w:asciiTheme="minorHAnsi" w:hAnsiTheme="minorHAnsi" w:cstheme="minorHAnsi"/>
          <w:color w:val="000000"/>
          <w:sz w:val="22"/>
          <w:szCs w:val="22"/>
        </w:rPr>
        <w:t xml:space="preserve">to withdraw </w:t>
      </w:r>
      <w:r w:rsidR="002A2011" w:rsidRPr="00CB5F1D">
        <w:rPr>
          <w:rFonts w:asciiTheme="minorHAnsi" w:hAnsiTheme="minorHAnsi" w:cstheme="minorHAnsi"/>
          <w:color w:val="000000"/>
          <w:sz w:val="22"/>
          <w:szCs w:val="22"/>
        </w:rPr>
        <w:t xml:space="preserve">the interconnection request </w:t>
      </w:r>
      <w:r w:rsidR="001067FE" w:rsidRPr="00CB5F1D">
        <w:rPr>
          <w:rFonts w:asciiTheme="minorHAnsi" w:hAnsiTheme="minorHAnsi" w:cstheme="minorHAnsi"/>
          <w:color w:val="000000"/>
          <w:sz w:val="22"/>
          <w:szCs w:val="22"/>
        </w:rPr>
        <w:t xml:space="preserve">and reapply. </w:t>
      </w:r>
      <w:r w:rsidR="001C71DC" w:rsidRPr="00CB5F1D">
        <w:rPr>
          <w:rFonts w:asciiTheme="minorHAnsi" w:hAnsiTheme="minorHAnsi" w:cstheme="minorHAnsi"/>
          <w:color w:val="000000"/>
          <w:sz w:val="22"/>
          <w:szCs w:val="22"/>
        </w:rPr>
        <w:t>L</w:t>
      </w:r>
      <w:r w:rsidR="001067FE" w:rsidRPr="00CB5F1D">
        <w:rPr>
          <w:rFonts w:asciiTheme="minorHAnsi" w:hAnsiTheme="minorHAnsi" w:cstheme="minorHAnsi"/>
          <w:color w:val="000000"/>
          <w:sz w:val="22"/>
          <w:szCs w:val="22"/>
        </w:rPr>
        <w:t xml:space="preserve">anguage </w:t>
      </w:r>
      <w:r w:rsidR="001C71DC" w:rsidRPr="00CB5F1D">
        <w:rPr>
          <w:rFonts w:asciiTheme="minorHAnsi" w:hAnsiTheme="minorHAnsi" w:cstheme="minorHAnsi"/>
          <w:color w:val="000000"/>
          <w:sz w:val="22"/>
          <w:szCs w:val="22"/>
        </w:rPr>
        <w:t xml:space="preserve">specifically </w:t>
      </w:r>
      <w:r w:rsidR="00B4330D" w:rsidRPr="00CB5F1D">
        <w:rPr>
          <w:rFonts w:asciiTheme="minorHAnsi" w:hAnsiTheme="minorHAnsi" w:cstheme="minorHAnsi"/>
          <w:color w:val="000000"/>
          <w:sz w:val="22"/>
          <w:szCs w:val="22"/>
        </w:rPr>
        <w:t xml:space="preserve">addressing </w:t>
      </w:r>
      <w:r w:rsidR="001067FE" w:rsidRPr="00CB5F1D">
        <w:rPr>
          <w:rFonts w:asciiTheme="minorHAnsi" w:hAnsiTheme="minorHAnsi" w:cstheme="minorHAnsi"/>
          <w:color w:val="000000"/>
          <w:sz w:val="22"/>
          <w:szCs w:val="22"/>
        </w:rPr>
        <w:t xml:space="preserve">modification types and the timing of these requests are </w:t>
      </w:r>
      <w:r w:rsidR="00B4330D" w:rsidRPr="00CB5F1D">
        <w:rPr>
          <w:rFonts w:asciiTheme="minorHAnsi" w:hAnsiTheme="minorHAnsi" w:cstheme="minorHAnsi"/>
          <w:color w:val="000000"/>
          <w:sz w:val="22"/>
          <w:szCs w:val="22"/>
        </w:rPr>
        <w:t xml:space="preserve">located </w:t>
      </w:r>
      <w:r w:rsidR="001067FE" w:rsidRPr="00CB5F1D">
        <w:rPr>
          <w:rFonts w:asciiTheme="minorHAnsi" w:hAnsiTheme="minorHAnsi" w:cstheme="minorHAnsi"/>
          <w:color w:val="000000"/>
          <w:sz w:val="22"/>
          <w:szCs w:val="22"/>
        </w:rPr>
        <w:t>within section F.3.c (Independent Study Process</w:t>
      </w:r>
      <w:r w:rsidR="00FE7A5F" w:rsidRPr="00CB5F1D">
        <w:rPr>
          <w:rFonts w:asciiTheme="minorHAnsi" w:hAnsiTheme="minorHAnsi" w:cstheme="minorHAnsi"/>
          <w:color w:val="000000"/>
          <w:sz w:val="22"/>
          <w:szCs w:val="22"/>
        </w:rPr>
        <w:t xml:space="preserve"> (ISP)</w:t>
      </w:r>
      <w:r w:rsidR="001067FE" w:rsidRPr="00CB5F1D">
        <w:rPr>
          <w:rFonts w:asciiTheme="minorHAnsi" w:hAnsiTheme="minorHAnsi" w:cstheme="minorHAnsi"/>
          <w:color w:val="000000"/>
          <w:sz w:val="22"/>
          <w:szCs w:val="22"/>
        </w:rPr>
        <w:t>) and F.3.d (Distribution Group Study Process</w:t>
      </w:r>
      <w:r w:rsidR="00FE7A5F" w:rsidRPr="00CB5F1D">
        <w:rPr>
          <w:rFonts w:asciiTheme="minorHAnsi" w:hAnsiTheme="minorHAnsi" w:cstheme="minorHAnsi"/>
          <w:color w:val="000000"/>
          <w:sz w:val="22"/>
          <w:szCs w:val="22"/>
        </w:rPr>
        <w:t xml:space="preserve"> (DGSP)</w:t>
      </w:r>
      <w:r w:rsidR="001067FE" w:rsidRPr="00CB5F1D">
        <w:rPr>
          <w:rFonts w:asciiTheme="minorHAnsi" w:hAnsiTheme="minorHAnsi" w:cstheme="minorHAnsi"/>
          <w:color w:val="000000"/>
          <w:sz w:val="22"/>
          <w:szCs w:val="22"/>
        </w:rPr>
        <w:t>)</w:t>
      </w:r>
      <w:r w:rsidR="00A13FF2" w:rsidRPr="00CB5F1D">
        <w:rPr>
          <w:rFonts w:asciiTheme="minorHAnsi" w:hAnsiTheme="minorHAnsi" w:cstheme="minorHAnsi"/>
          <w:color w:val="000000"/>
          <w:sz w:val="22"/>
          <w:szCs w:val="22"/>
        </w:rPr>
        <w:t xml:space="preserve"> in Rule 21</w:t>
      </w:r>
      <w:r w:rsidR="001067FE" w:rsidRPr="00CB5F1D">
        <w:rPr>
          <w:rFonts w:asciiTheme="minorHAnsi" w:hAnsiTheme="minorHAnsi" w:cstheme="minorHAnsi"/>
          <w:color w:val="000000"/>
          <w:sz w:val="22"/>
          <w:szCs w:val="22"/>
        </w:rPr>
        <w:t xml:space="preserve">.  Under the </w:t>
      </w:r>
      <w:r w:rsidR="00B4330D" w:rsidRPr="00CB5F1D">
        <w:rPr>
          <w:rFonts w:asciiTheme="minorHAnsi" w:hAnsiTheme="minorHAnsi" w:cstheme="minorHAnsi"/>
          <w:color w:val="000000"/>
          <w:sz w:val="22"/>
          <w:szCs w:val="22"/>
        </w:rPr>
        <w:t>Rule 21 “</w:t>
      </w:r>
      <w:r w:rsidR="001067FE" w:rsidRPr="00CB5F1D">
        <w:rPr>
          <w:rFonts w:asciiTheme="minorHAnsi" w:hAnsiTheme="minorHAnsi" w:cstheme="minorHAnsi"/>
          <w:color w:val="000000"/>
          <w:sz w:val="22"/>
          <w:szCs w:val="22"/>
        </w:rPr>
        <w:t>Fast Track</w:t>
      </w:r>
      <w:r w:rsidR="00B4330D" w:rsidRPr="00CB5F1D">
        <w:rPr>
          <w:rFonts w:asciiTheme="minorHAnsi" w:hAnsiTheme="minorHAnsi" w:cstheme="minorHAnsi"/>
          <w:color w:val="000000"/>
          <w:sz w:val="22"/>
          <w:szCs w:val="22"/>
        </w:rPr>
        <w:t>”</w:t>
      </w:r>
      <w:r w:rsidR="001067FE" w:rsidRPr="00CB5F1D">
        <w:rPr>
          <w:rFonts w:asciiTheme="minorHAnsi" w:hAnsiTheme="minorHAnsi" w:cstheme="minorHAnsi"/>
          <w:color w:val="000000"/>
          <w:sz w:val="22"/>
          <w:szCs w:val="22"/>
        </w:rPr>
        <w:t xml:space="preserve"> </w:t>
      </w:r>
      <w:r w:rsidR="00B4330D" w:rsidRPr="00CB5F1D">
        <w:rPr>
          <w:rFonts w:asciiTheme="minorHAnsi" w:hAnsiTheme="minorHAnsi" w:cstheme="minorHAnsi"/>
          <w:color w:val="000000"/>
          <w:sz w:val="22"/>
          <w:szCs w:val="22"/>
        </w:rPr>
        <w:t xml:space="preserve">study </w:t>
      </w:r>
      <w:r w:rsidR="001067FE" w:rsidRPr="00CB5F1D">
        <w:rPr>
          <w:rFonts w:asciiTheme="minorHAnsi" w:hAnsiTheme="minorHAnsi" w:cstheme="minorHAnsi"/>
          <w:color w:val="000000"/>
          <w:sz w:val="22"/>
          <w:szCs w:val="22"/>
        </w:rPr>
        <w:t xml:space="preserve">Process, </w:t>
      </w:r>
      <w:r w:rsidR="00B4330D" w:rsidRPr="00CB5F1D">
        <w:rPr>
          <w:rFonts w:asciiTheme="minorHAnsi" w:hAnsiTheme="minorHAnsi" w:cstheme="minorHAnsi"/>
          <w:color w:val="000000"/>
          <w:sz w:val="22"/>
          <w:szCs w:val="22"/>
        </w:rPr>
        <w:t xml:space="preserve">the </w:t>
      </w:r>
      <w:r w:rsidR="001067FE" w:rsidRPr="00CB5F1D">
        <w:rPr>
          <w:rFonts w:asciiTheme="minorHAnsi" w:hAnsiTheme="minorHAnsi" w:cstheme="minorHAnsi"/>
          <w:color w:val="000000"/>
          <w:sz w:val="22"/>
          <w:szCs w:val="22"/>
        </w:rPr>
        <w:t xml:space="preserve">Rule 21 Tariff </w:t>
      </w:r>
      <w:r w:rsidR="00B4330D" w:rsidRPr="00CB5F1D">
        <w:rPr>
          <w:rFonts w:asciiTheme="minorHAnsi" w:hAnsiTheme="minorHAnsi" w:cstheme="minorHAnsi"/>
          <w:color w:val="000000"/>
          <w:sz w:val="22"/>
          <w:szCs w:val="22"/>
        </w:rPr>
        <w:t xml:space="preserve">currently </w:t>
      </w:r>
      <w:r w:rsidR="001067FE" w:rsidRPr="00CB5F1D">
        <w:rPr>
          <w:rFonts w:asciiTheme="minorHAnsi" w:hAnsiTheme="minorHAnsi" w:cstheme="minorHAnsi"/>
          <w:color w:val="000000"/>
          <w:sz w:val="22"/>
          <w:szCs w:val="22"/>
        </w:rPr>
        <w:t>states that “No changes may be made to the planned Point of Interconnection or Generating Facility size included in the Interconnection Request during the Fast Track Process, unless such changes are agreed to by Distribution Provider.”  The Fast Track Process</w:t>
      </w:r>
      <w:r w:rsidR="00A13FF2" w:rsidRPr="00CB5F1D">
        <w:rPr>
          <w:rFonts w:asciiTheme="minorHAnsi" w:hAnsiTheme="minorHAnsi" w:cstheme="minorHAnsi"/>
          <w:color w:val="000000"/>
          <w:sz w:val="22"/>
          <w:szCs w:val="22"/>
        </w:rPr>
        <w:t>, which is utilized for majority of the IOU’s DER interconnections</w:t>
      </w:r>
      <w:r w:rsidR="00B4330D" w:rsidRPr="00CB5F1D">
        <w:rPr>
          <w:rFonts w:asciiTheme="minorHAnsi" w:hAnsiTheme="minorHAnsi" w:cstheme="minorHAnsi"/>
          <w:color w:val="000000"/>
          <w:sz w:val="22"/>
          <w:szCs w:val="22"/>
        </w:rPr>
        <w:t xml:space="preserve"> (in particular, those processed under Net Energy Metering programs)</w:t>
      </w:r>
      <w:r w:rsidR="00A13FF2" w:rsidRPr="00CB5F1D">
        <w:rPr>
          <w:rFonts w:asciiTheme="minorHAnsi" w:hAnsiTheme="minorHAnsi" w:cstheme="minorHAnsi"/>
          <w:color w:val="000000"/>
          <w:sz w:val="22"/>
          <w:szCs w:val="22"/>
        </w:rPr>
        <w:t>,</w:t>
      </w:r>
      <w:r w:rsidR="001067FE" w:rsidRPr="00CB5F1D">
        <w:rPr>
          <w:rFonts w:asciiTheme="minorHAnsi" w:hAnsiTheme="minorHAnsi" w:cstheme="minorHAnsi"/>
          <w:color w:val="000000"/>
          <w:sz w:val="22"/>
          <w:szCs w:val="22"/>
        </w:rPr>
        <w:t xml:space="preserve"> was designed to </w:t>
      </w:r>
      <w:r w:rsidR="00B4330D" w:rsidRPr="00CB5F1D">
        <w:rPr>
          <w:rFonts w:asciiTheme="minorHAnsi" w:hAnsiTheme="minorHAnsi" w:cstheme="minorHAnsi"/>
          <w:color w:val="000000"/>
          <w:sz w:val="22"/>
          <w:szCs w:val="22"/>
        </w:rPr>
        <w:t xml:space="preserve">allow for an expedited review </w:t>
      </w:r>
      <w:r w:rsidR="0048756A" w:rsidRPr="00CB5F1D">
        <w:rPr>
          <w:rFonts w:asciiTheme="minorHAnsi" w:hAnsiTheme="minorHAnsi" w:cstheme="minorHAnsi"/>
          <w:color w:val="000000"/>
          <w:sz w:val="22"/>
          <w:szCs w:val="22"/>
        </w:rPr>
        <w:t>of</w:t>
      </w:r>
      <w:r w:rsidR="00B4330D" w:rsidRPr="00CB5F1D">
        <w:rPr>
          <w:rFonts w:asciiTheme="minorHAnsi" w:hAnsiTheme="minorHAnsi" w:cstheme="minorHAnsi"/>
          <w:color w:val="000000"/>
          <w:sz w:val="22"/>
          <w:szCs w:val="22"/>
        </w:rPr>
        <w:t xml:space="preserve"> projects not </w:t>
      </w:r>
      <w:del w:id="0" w:author="Brad Heavner" w:date="2018-01-31T18:58:00Z">
        <w:r w:rsidR="00B4330D" w:rsidRPr="00CB5F1D" w:rsidDel="00C0076D">
          <w:rPr>
            <w:rFonts w:asciiTheme="minorHAnsi" w:hAnsiTheme="minorHAnsi" w:cstheme="minorHAnsi"/>
            <w:color w:val="000000"/>
            <w:sz w:val="22"/>
            <w:szCs w:val="22"/>
          </w:rPr>
          <w:delText xml:space="preserve">expedited </w:delText>
        </w:r>
      </w:del>
      <w:ins w:id="1" w:author="Brad Heavner" w:date="2018-01-31T18:58:00Z">
        <w:r w:rsidR="00C0076D">
          <w:rPr>
            <w:rFonts w:asciiTheme="minorHAnsi" w:hAnsiTheme="minorHAnsi" w:cstheme="minorHAnsi"/>
            <w:color w:val="000000"/>
            <w:sz w:val="22"/>
            <w:szCs w:val="22"/>
          </w:rPr>
          <w:t>expected</w:t>
        </w:r>
        <w:r w:rsidR="00C0076D" w:rsidRPr="00CB5F1D">
          <w:rPr>
            <w:rFonts w:asciiTheme="minorHAnsi" w:hAnsiTheme="minorHAnsi" w:cstheme="minorHAnsi"/>
            <w:color w:val="000000"/>
            <w:sz w:val="22"/>
            <w:szCs w:val="22"/>
          </w:rPr>
          <w:t xml:space="preserve"> </w:t>
        </w:r>
      </w:ins>
      <w:r w:rsidR="00B4330D" w:rsidRPr="00CB5F1D">
        <w:rPr>
          <w:rFonts w:asciiTheme="minorHAnsi" w:hAnsiTheme="minorHAnsi" w:cstheme="minorHAnsi"/>
          <w:color w:val="000000"/>
          <w:sz w:val="22"/>
          <w:szCs w:val="22"/>
        </w:rPr>
        <w:t xml:space="preserve">to create a significant impact to the electrical grid.  </w:t>
      </w:r>
    </w:p>
    <w:p w14:paraId="6055DFE7" w14:textId="5133C3E8" w:rsidR="00A13FF2" w:rsidRPr="00CB5F1D" w:rsidRDefault="00B4330D" w:rsidP="00A01943">
      <w:pPr>
        <w:pStyle w:val="m-8088054778943683726m-2267498420393465527msolistparagraph"/>
        <w:shd w:val="clear" w:color="auto" w:fill="FFFFFF"/>
        <w:spacing w:before="0" w:beforeAutospacing="0"/>
        <w:jc w:val="both"/>
        <w:rPr>
          <w:rFonts w:asciiTheme="minorHAnsi" w:hAnsiTheme="minorHAnsi" w:cstheme="minorHAnsi"/>
          <w:b/>
          <w:sz w:val="22"/>
          <w:szCs w:val="22"/>
        </w:rPr>
      </w:pPr>
      <w:r w:rsidRPr="00CB5F1D">
        <w:rPr>
          <w:rFonts w:asciiTheme="minorHAnsi" w:hAnsiTheme="minorHAnsi" w:cstheme="minorHAnsi"/>
          <w:b/>
          <w:sz w:val="22"/>
          <w:szCs w:val="22"/>
        </w:rPr>
        <w:t xml:space="preserve">Issue Presented: </w:t>
      </w:r>
    </w:p>
    <w:p w14:paraId="2E3FC524" w14:textId="2A7F90E7" w:rsidR="00A13FF2" w:rsidRPr="00CB5F1D" w:rsidRDefault="001C71DC" w:rsidP="00A01943">
      <w:pPr>
        <w:pStyle w:val="m-8088054778943683726m-2267498420393465527msolistparagraph"/>
        <w:shd w:val="clear" w:color="auto" w:fill="FFFFFF"/>
        <w:spacing w:before="0" w:beforeAutospacing="0"/>
        <w:jc w:val="both"/>
        <w:rPr>
          <w:rFonts w:asciiTheme="minorHAnsi" w:hAnsiTheme="minorHAnsi" w:cstheme="minorHAnsi"/>
          <w:sz w:val="22"/>
          <w:szCs w:val="22"/>
        </w:rPr>
      </w:pPr>
      <w:r w:rsidRPr="00CB5F1D">
        <w:rPr>
          <w:rFonts w:asciiTheme="minorHAnsi" w:hAnsiTheme="minorHAnsi" w:cstheme="minorHAnsi"/>
          <w:sz w:val="22"/>
          <w:szCs w:val="22"/>
        </w:rPr>
        <w:t>As highlighted above, existing F</w:t>
      </w:r>
      <w:r w:rsidR="00A13FF2" w:rsidRPr="00CB5F1D">
        <w:rPr>
          <w:rFonts w:asciiTheme="minorHAnsi" w:hAnsiTheme="minorHAnsi" w:cstheme="minorHAnsi"/>
          <w:sz w:val="22"/>
          <w:szCs w:val="22"/>
        </w:rPr>
        <w:t>ast Track modification language includes the provision “unless such changes are agreed to by Distribution Provider</w:t>
      </w:r>
      <w:r w:rsidR="00FE27BD" w:rsidRPr="00CB5F1D">
        <w:rPr>
          <w:rFonts w:asciiTheme="minorHAnsi" w:hAnsiTheme="minorHAnsi" w:cstheme="minorHAnsi"/>
          <w:sz w:val="22"/>
          <w:szCs w:val="22"/>
        </w:rPr>
        <w:t>.”</w:t>
      </w:r>
      <w:r w:rsidR="00FE27BD" w:rsidRPr="00CB5F1D">
        <w:rPr>
          <w:rStyle w:val="FootnoteReference"/>
          <w:rFonts w:asciiTheme="minorHAnsi" w:hAnsiTheme="minorHAnsi" w:cstheme="minorHAnsi"/>
          <w:sz w:val="22"/>
          <w:szCs w:val="22"/>
        </w:rPr>
        <w:footnoteReference w:id="2"/>
      </w:r>
      <w:r w:rsidR="00FE27BD" w:rsidRPr="00CB5F1D">
        <w:rPr>
          <w:rFonts w:asciiTheme="minorHAnsi" w:hAnsiTheme="minorHAnsi" w:cstheme="minorHAnsi"/>
          <w:sz w:val="22"/>
          <w:szCs w:val="22"/>
        </w:rPr>
        <w:t xml:space="preserve"> Thus, </w:t>
      </w:r>
      <w:r w:rsidR="00A13FF2" w:rsidRPr="00CB5F1D">
        <w:rPr>
          <w:rFonts w:asciiTheme="minorHAnsi" w:hAnsiTheme="minorHAnsi" w:cstheme="minorHAnsi"/>
          <w:sz w:val="22"/>
          <w:szCs w:val="22"/>
        </w:rPr>
        <w:t xml:space="preserve">the IOUs </w:t>
      </w:r>
      <w:r w:rsidR="00FE27BD" w:rsidRPr="00CB5F1D">
        <w:rPr>
          <w:rFonts w:asciiTheme="minorHAnsi" w:hAnsiTheme="minorHAnsi" w:cstheme="minorHAnsi"/>
          <w:sz w:val="22"/>
          <w:szCs w:val="22"/>
        </w:rPr>
        <w:t xml:space="preserve">are allowed to </w:t>
      </w:r>
      <w:r w:rsidR="00A13FF2" w:rsidRPr="00CB5F1D">
        <w:rPr>
          <w:rFonts w:asciiTheme="minorHAnsi" w:hAnsiTheme="minorHAnsi" w:cstheme="minorHAnsi"/>
          <w:sz w:val="22"/>
          <w:szCs w:val="22"/>
        </w:rPr>
        <w:t xml:space="preserve">consider modification requests within the Fast Track </w:t>
      </w:r>
      <w:r w:rsidR="00FE27BD" w:rsidRPr="00CB5F1D">
        <w:rPr>
          <w:rFonts w:asciiTheme="minorHAnsi" w:hAnsiTheme="minorHAnsi" w:cstheme="minorHAnsi"/>
          <w:sz w:val="22"/>
          <w:szCs w:val="22"/>
        </w:rPr>
        <w:t xml:space="preserve">process for revisions to a planned Point of Interconnection or Generating Facility size under reasonable discretion. </w:t>
      </w:r>
      <w:r w:rsidR="00A13FF2" w:rsidRPr="00CB5F1D">
        <w:rPr>
          <w:rFonts w:asciiTheme="minorHAnsi" w:hAnsiTheme="minorHAnsi" w:cstheme="minorHAnsi"/>
          <w:sz w:val="22"/>
          <w:szCs w:val="22"/>
        </w:rPr>
        <w:t xml:space="preserve">  Stakeholders raised concerns with the current language in that it (a) its unnecessarily restrictive and (b) the IOUs utilize discretion in different ways to allow modifications within the fast track. </w:t>
      </w:r>
      <w:r w:rsidR="002A2011" w:rsidRPr="00CB5F1D">
        <w:rPr>
          <w:rFonts w:asciiTheme="minorHAnsi" w:hAnsiTheme="minorHAnsi" w:cstheme="minorHAnsi"/>
          <w:sz w:val="22"/>
          <w:szCs w:val="22"/>
        </w:rPr>
        <w:t xml:space="preserve">From the </w:t>
      </w:r>
      <w:r w:rsidR="00A45CE4" w:rsidRPr="00CB5F1D">
        <w:rPr>
          <w:rFonts w:asciiTheme="minorHAnsi" w:hAnsiTheme="minorHAnsi" w:cstheme="minorHAnsi"/>
          <w:sz w:val="22"/>
          <w:szCs w:val="22"/>
        </w:rPr>
        <w:t>stakeholders’</w:t>
      </w:r>
      <w:r w:rsidR="002A2011" w:rsidRPr="00CB5F1D">
        <w:rPr>
          <w:rFonts w:asciiTheme="minorHAnsi" w:hAnsiTheme="minorHAnsi" w:cstheme="minorHAnsi"/>
          <w:sz w:val="22"/>
          <w:szCs w:val="22"/>
        </w:rPr>
        <w:t xml:space="preserve"> perspective, maintaining their place in the interconnection queue and not requiring the submission of a new interconnection request is important for time and cost certainty where changes have no adverse consequences.</w:t>
      </w:r>
      <w:r w:rsidR="00A13FF2" w:rsidRPr="00CB5F1D">
        <w:rPr>
          <w:rFonts w:asciiTheme="minorHAnsi" w:hAnsiTheme="minorHAnsi" w:cstheme="minorHAnsi"/>
          <w:sz w:val="22"/>
          <w:szCs w:val="22"/>
        </w:rPr>
        <w:t xml:space="preserve"> </w:t>
      </w:r>
    </w:p>
    <w:p w14:paraId="4ED6C621" w14:textId="57CC4A9B" w:rsidR="00A01943" w:rsidRPr="00CB5F1D" w:rsidRDefault="00A13FF2" w:rsidP="00A01943">
      <w:pPr>
        <w:pStyle w:val="m-8088054778943683726m-2267498420393465527msolistparagraph"/>
        <w:shd w:val="clear" w:color="auto" w:fill="FFFFFF"/>
        <w:spacing w:before="0" w:beforeAutospacing="0"/>
        <w:jc w:val="both"/>
        <w:rPr>
          <w:rFonts w:asciiTheme="minorHAnsi" w:hAnsiTheme="minorHAnsi" w:cstheme="minorHAnsi"/>
          <w:sz w:val="22"/>
          <w:szCs w:val="22"/>
        </w:rPr>
      </w:pPr>
      <w:r w:rsidRPr="00CB5F1D">
        <w:rPr>
          <w:rFonts w:asciiTheme="minorHAnsi" w:hAnsiTheme="minorHAnsi" w:cstheme="minorHAnsi"/>
          <w:sz w:val="22"/>
          <w:szCs w:val="22"/>
        </w:rPr>
        <w:lastRenderedPageBreak/>
        <w:t xml:space="preserve">Stakeholders </w:t>
      </w:r>
      <w:r w:rsidR="00FE27BD" w:rsidRPr="00CB5F1D">
        <w:rPr>
          <w:rFonts w:asciiTheme="minorHAnsi" w:hAnsiTheme="minorHAnsi" w:cstheme="minorHAnsi"/>
          <w:sz w:val="22"/>
          <w:szCs w:val="22"/>
        </w:rPr>
        <w:t xml:space="preserve">also </w:t>
      </w:r>
      <w:r w:rsidRPr="00CB5F1D">
        <w:rPr>
          <w:rFonts w:asciiTheme="minorHAnsi" w:hAnsiTheme="minorHAnsi" w:cstheme="minorHAnsi"/>
          <w:sz w:val="22"/>
          <w:szCs w:val="22"/>
        </w:rPr>
        <w:t xml:space="preserve">raised </w:t>
      </w:r>
      <w:r w:rsidR="002A2011" w:rsidRPr="00CB5F1D">
        <w:rPr>
          <w:rFonts w:asciiTheme="minorHAnsi" w:hAnsiTheme="minorHAnsi" w:cstheme="minorHAnsi"/>
          <w:sz w:val="22"/>
          <w:szCs w:val="22"/>
        </w:rPr>
        <w:t xml:space="preserve">legitimate concerns </w:t>
      </w:r>
      <w:r w:rsidRPr="00CB5F1D">
        <w:rPr>
          <w:rFonts w:asciiTheme="minorHAnsi" w:hAnsiTheme="minorHAnsi" w:cstheme="minorHAnsi"/>
          <w:sz w:val="22"/>
          <w:szCs w:val="22"/>
        </w:rPr>
        <w:t xml:space="preserve">that </w:t>
      </w:r>
      <w:r w:rsidR="002A2011" w:rsidRPr="00CB5F1D">
        <w:rPr>
          <w:rFonts w:asciiTheme="minorHAnsi" w:hAnsiTheme="minorHAnsi" w:cstheme="minorHAnsi"/>
          <w:sz w:val="22"/>
          <w:szCs w:val="22"/>
        </w:rPr>
        <w:t>some circumstances</w:t>
      </w:r>
      <w:r w:rsidRPr="00CB5F1D">
        <w:rPr>
          <w:rFonts w:asciiTheme="minorHAnsi" w:hAnsiTheme="minorHAnsi" w:cstheme="minorHAnsi"/>
          <w:sz w:val="22"/>
          <w:szCs w:val="22"/>
        </w:rPr>
        <w:t xml:space="preserve"> are </w:t>
      </w:r>
      <w:r w:rsidR="00D54448" w:rsidRPr="00CB5F1D">
        <w:rPr>
          <w:rFonts w:asciiTheme="minorHAnsi" w:hAnsiTheme="minorHAnsi" w:cstheme="minorHAnsi"/>
          <w:sz w:val="22"/>
          <w:szCs w:val="22"/>
        </w:rPr>
        <w:t xml:space="preserve">outside </w:t>
      </w:r>
      <w:r w:rsidR="002A2011" w:rsidRPr="00CB5F1D">
        <w:rPr>
          <w:rFonts w:asciiTheme="minorHAnsi" w:hAnsiTheme="minorHAnsi" w:cstheme="minorHAnsi"/>
          <w:sz w:val="22"/>
          <w:szCs w:val="22"/>
        </w:rPr>
        <w:t xml:space="preserve">of </w:t>
      </w:r>
      <w:r w:rsidR="00D54448" w:rsidRPr="00CB5F1D">
        <w:rPr>
          <w:rFonts w:asciiTheme="minorHAnsi" w:hAnsiTheme="minorHAnsi" w:cstheme="minorHAnsi"/>
          <w:sz w:val="22"/>
          <w:szCs w:val="22"/>
        </w:rPr>
        <w:t>their</w:t>
      </w:r>
      <w:r w:rsidRPr="00CB5F1D">
        <w:rPr>
          <w:rFonts w:asciiTheme="minorHAnsi" w:hAnsiTheme="minorHAnsi" w:cstheme="minorHAnsi"/>
          <w:sz w:val="22"/>
          <w:szCs w:val="22"/>
        </w:rPr>
        <w:t xml:space="preserve"> control therefore necessitating the need to make modification requests. </w:t>
      </w:r>
      <w:r w:rsidR="001C71DC" w:rsidRPr="00CB5F1D">
        <w:rPr>
          <w:rFonts w:asciiTheme="minorHAnsi" w:hAnsiTheme="minorHAnsi" w:cstheme="minorHAnsi"/>
          <w:sz w:val="22"/>
          <w:szCs w:val="22"/>
        </w:rPr>
        <w:t xml:space="preserve">  Stakeholder provided examples include the following: </w:t>
      </w:r>
    </w:p>
    <w:p w14:paraId="27D6B96F" w14:textId="2E392E36" w:rsidR="00A13FF2" w:rsidRPr="00CB5F1D" w:rsidRDefault="00A13FF2" w:rsidP="00A13FF2">
      <w:pPr>
        <w:pStyle w:val="m-8088054778943683726m-2267498420393465527msolistparagraph"/>
        <w:numPr>
          <w:ilvl w:val="0"/>
          <w:numId w:val="33"/>
        </w:numPr>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b/>
          <w:color w:val="000000"/>
          <w:sz w:val="22"/>
          <w:szCs w:val="22"/>
        </w:rPr>
        <w:t>Equipment Availability</w:t>
      </w:r>
      <w:r w:rsidRPr="00CB5F1D">
        <w:rPr>
          <w:rFonts w:asciiTheme="minorHAnsi" w:hAnsiTheme="minorHAnsi" w:cstheme="minorHAnsi"/>
          <w:color w:val="000000"/>
          <w:sz w:val="22"/>
          <w:szCs w:val="22"/>
        </w:rPr>
        <w:t xml:space="preserve">: The equipment that was designed for a </w:t>
      </w:r>
      <w:r w:rsidR="00F54375" w:rsidRPr="00CB5F1D">
        <w:rPr>
          <w:rFonts w:asciiTheme="minorHAnsi" w:hAnsiTheme="minorHAnsi" w:cstheme="minorHAnsi"/>
          <w:color w:val="000000"/>
          <w:sz w:val="22"/>
          <w:szCs w:val="22"/>
        </w:rPr>
        <w:t>project</w:t>
      </w:r>
      <w:r w:rsidRPr="00CB5F1D">
        <w:rPr>
          <w:rFonts w:asciiTheme="minorHAnsi" w:hAnsiTheme="minorHAnsi" w:cstheme="minorHAnsi"/>
          <w:color w:val="000000"/>
          <w:sz w:val="22"/>
          <w:szCs w:val="22"/>
        </w:rPr>
        <w:t xml:space="preserve"> may not be available when it comes time to installing the system necessitating a swap of equipment.  </w:t>
      </w:r>
    </w:p>
    <w:p w14:paraId="3E01C045" w14:textId="60F164C6" w:rsidR="00D54448" w:rsidRPr="00CB5F1D" w:rsidRDefault="00D54448" w:rsidP="00A45CE4">
      <w:pPr>
        <w:pStyle w:val="m-8088054778943683726m-2267498420393465527msolistparagraph"/>
        <w:numPr>
          <w:ilvl w:val="0"/>
          <w:numId w:val="33"/>
        </w:numPr>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b/>
          <w:color w:val="000000"/>
          <w:sz w:val="22"/>
          <w:szCs w:val="22"/>
        </w:rPr>
        <w:t>Un-Forecasted Upgrades</w:t>
      </w:r>
      <w:r w:rsidRPr="00CB5F1D">
        <w:rPr>
          <w:rFonts w:asciiTheme="minorHAnsi" w:hAnsiTheme="minorHAnsi" w:cstheme="minorHAnsi"/>
          <w:color w:val="000000"/>
          <w:sz w:val="22"/>
          <w:szCs w:val="22"/>
        </w:rPr>
        <w:t>: A project that is similar in size and nature to many other</w:t>
      </w:r>
      <w:r w:rsidR="001C5AFC" w:rsidRPr="00CB5F1D">
        <w:rPr>
          <w:rFonts w:asciiTheme="minorHAnsi" w:hAnsiTheme="minorHAnsi" w:cstheme="minorHAnsi"/>
          <w:color w:val="000000"/>
          <w:sz w:val="22"/>
          <w:szCs w:val="22"/>
        </w:rPr>
        <w:t xml:space="preserve"> </w:t>
      </w:r>
      <w:r w:rsidR="00F54375" w:rsidRPr="00CB5F1D">
        <w:rPr>
          <w:rFonts w:asciiTheme="minorHAnsi" w:hAnsiTheme="minorHAnsi" w:cstheme="minorHAnsi"/>
          <w:color w:val="000000"/>
          <w:sz w:val="22"/>
          <w:szCs w:val="22"/>
        </w:rPr>
        <w:t>projects</w:t>
      </w:r>
      <w:r w:rsidRPr="00CB5F1D">
        <w:rPr>
          <w:rFonts w:asciiTheme="minorHAnsi" w:hAnsiTheme="minorHAnsi" w:cstheme="minorHAnsi"/>
          <w:color w:val="000000"/>
          <w:sz w:val="22"/>
          <w:szCs w:val="22"/>
        </w:rPr>
        <w:t xml:space="preserve"> submitted to the IOU but in a location that ha</w:t>
      </w:r>
      <w:r w:rsidR="00F54375" w:rsidRPr="00CB5F1D">
        <w:rPr>
          <w:rFonts w:asciiTheme="minorHAnsi" w:hAnsiTheme="minorHAnsi" w:cstheme="minorHAnsi"/>
          <w:color w:val="000000"/>
          <w:sz w:val="22"/>
          <w:szCs w:val="22"/>
        </w:rPr>
        <w:t>s</w:t>
      </w:r>
      <w:r w:rsidRPr="00CB5F1D">
        <w:rPr>
          <w:rFonts w:asciiTheme="minorHAnsi" w:hAnsiTheme="minorHAnsi" w:cstheme="minorHAnsi"/>
          <w:color w:val="000000"/>
          <w:sz w:val="22"/>
          <w:szCs w:val="22"/>
        </w:rPr>
        <w:t xml:space="preserve"> more constraints than others resulting in a transformer upgrade or secondary line upgrade.  The cost of the mitigations </w:t>
      </w:r>
      <w:r w:rsidR="00F54375" w:rsidRPr="00CB5F1D">
        <w:rPr>
          <w:rFonts w:asciiTheme="minorHAnsi" w:hAnsiTheme="minorHAnsi" w:cstheme="minorHAnsi"/>
          <w:color w:val="000000"/>
          <w:sz w:val="22"/>
          <w:szCs w:val="22"/>
        </w:rPr>
        <w:t>makes</w:t>
      </w:r>
      <w:r w:rsidRPr="00CB5F1D">
        <w:rPr>
          <w:rFonts w:asciiTheme="minorHAnsi" w:hAnsiTheme="minorHAnsi" w:cstheme="minorHAnsi"/>
          <w:color w:val="000000"/>
          <w:sz w:val="22"/>
          <w:szCs w:val="22"/>
        </w:rPr>
        <w:t xml:space="preserve"> the project uneconomic necessitating a downsize request to avoid upgrades.</w:t>
      </w:r>
    </w:p>
    <w:p w14:paraId="5BD5185C" w14:textId="6AD477A0" w:rsidR="00D54448" w:rsidRPr="00CB5F1D" w:rsidRDefault="00D54448" w:rsidP="00D54448">
      <w:pPr>
        <w:pStyle w:val="m-8088054778943683726m-2267498420393465527msolistparagraph"/>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color w:val="000000"/>
          <w:sz w:val="22"/>
          <w:szCs w:val="22"/>
        </w:rPr>
        <w:t xml:space="preserve">Stakeholders also raised concerns </w:t>
      </w:r>
      <w:r w:rsidR="00FE27BD" w:rsidRPr="00CB5F1D">
        <w:rPr>
          <w:rFonts w:asciiTheme="minorHAnsi" w:hAnsiTheme="minorHAnsi" w:cstheme="minorHAnsi"/>
          <w:color w:val="000000"/>
          <w:sz w:val="22"/>
          <w:szCs w:val="22"/>
        </w:rPr>
        <w:t xml:space="preserve">whether </w:t>
      </w:r>
      <w:r w:rsidRPr="00CB5F1D">
        <w:rPr>
          <w:rFonts w:asciiTheme="minorHAnsi" w:hAnsiTheme="minorHAnsi" w:cstheme="minorHAnsi"/>
          <w:color w:val="000000"/>
          <w:sz w:val="22"/>
          <w:szCs w:val="22"/>
        </w:rPr>
        <w:t xml:space="preserve">modification requests </w:t>
      </w:r>
      <w:r w:rsidR="00FE27BD" w:rsidRPr="00CB5F1D">
        <w:rPr>
          <w:rFonts w:asciiTheme="minorHAnsi" w:hAnsiTheme="minorHAnsi" w:cstheme="minorHAnsi"/>
          <w:color w:val="000000"/>
          <w:sz w:val="22"/>
          <w:szCs w:val="22"/>
        </w:rPr>
        <w:t xml:space="preserve">have been treated consistently across the IOUs. </w:t>
      </w:r>
      <w:r w:rsidR="00030AC1" w:rsidRPr="00CB5F1D">
        <w:rPr>
          <w:rFonts w:asciiTheme="minorHAnsi" w:hAnsiTheme="minorHAnsi" w:cstheme="minorHAnsi"/>
          <w:color w:val="000000"/>
          <w:sz w:val="22"/>
          <w:szCs w:val="22"/>
        </w:rPr>
        <w:t xml:space="preserve">The current treatment of modifications made within the Rule 21 Fast Track process was discussed within correspondence sent from Heather Sanders, Special Advisor at the CPUC, attached at </w:t>
      </w:r>
      <w:r w:rsidRPr="00CB5F1D">
        <w:rPr>
          <w:rFonts w:asciiTheme="minorHAnsi" w:hAnsiTheme="minorHAnsi" w:cstheme="minorHAnsi"/>
          <w:color w:val="000000"/>
          <w:sz w:val="22"/>
          <w:szCs w:val="22"/>
        </w:rPr>
        <w:t xml:space="preserve">Appendix </w:t>
      </w:r>
      <w:r w:rsidR="00693175" w:rsidRPr="00CB5F1D">
        <w:rPr>
          <w:rFonts w:asciiTheme="minorHAnsi" w:hAnsiTheme="minorHAnsi" w:cstheme="minorHAnsi"/>
          <w:color w:val="000000"/>
          <w:sz w:val="22"/>
          <w:szCs w:val="22"/>
        </w:rPr>
        <w:t>D</w:t>
      </w:r>
      <w:r w:rsidRPr="00CB5F1D">
        <w:rPr>
          <w:rFonts w:asciiTheme="minorHAnsi" w:hAnsiTheme="minorHAnsi" w:cstheme="minorHAnsi"/>
          <w:color w:val="000000"/>
          <w:sz w:val="22"/>
          <w:szCs w:val="22"/>
        </w:rPr>
        <w:t xml:space="preserve">.  </w:t>
      </w:r>
    </w:p>
    <w:p w14:paraId="30BB5FC5" w14:textId="40360792" w:rsidR="00D54448" w:rsidRPr="00CB5F1D" w:rsidRDefault="00D54448" w:rsidP="00D54448">
      <w:pPr>
        <w:pStyle w:val="m-8088054778943683726m-2267498420393465527msolistparagraph"/>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color w:val="000000"/>
          <w:sz w:val="22"/>
          <w:szCs w:val="22"/>
        </w:rPr>
        <w:t xml:space="preserve">The IOUs are supportive of evaluating modifications within the Fast Track Process but </w:t>
      </w:r>
      <w:r w:rsidR="009B4E43" w:rsidRPr="00CB5F1D">
        <w:rPr>
          <w:rFonts w:asciiTheme="minorHAnsi" w:hAnsiTheme="minorHAnsi" w:cstheme="minorHAnsi"/>
          <w:color w:val="000000"/>
          <w:sz w:val="22"/>
          <w:szCs w:val="22"/>
        </w:rPr>
        <w:t>highlight that the</w:t>
      </w:r>
      <w:r w:rsidR="00FE7A5F" w:rsidRPr="00CB5F1D">
        <w:rPr>
          <w:rFonts w:asciiTheme="minorHAnsi" w:hAnsiTheme="minorHAnsi" w:cstheme="minorHAnsi"/>
          <w:color w:val="000000"/>
          <w:sz w:val="22"/>
          <w:szCs w:val="22"/>
        </w:rPr>
        <w:t xml:space="preserve"> original design of the process did</w:t>
      </w:r>
      <w:r w:rsidR="009B4E43" w:rsidRPr="00CB5F1D">
        <w:rPr>
          <w:rFonts w:asciiTheme="minorHAnsi" w:hAnsiTheme="minorHAnsi" w:cstheme="minorHAnsi"/>
          <w:color w:val="000000"/>
          <w:sz w:val="22"/>
          <w:szCs w:val="22"/>
        </w:rPr>
        <w:t xml:space="preserve"> not consider modifications.</w:t>
      </w:r>
      <w:r w:rsidR="00FE7A5F" w:rsidRPr="00CB5F1D">
        <w:rPr>
          <w:rFonts w:asciiTheme="minorHAnsi" w:hAnsiTheme="minorHAnsi" w:cstheme="minorHAnsi"/>
          <w:color w:val="000000"/>
          <w:sz w:val="22"/>
          <w:szCs w:val="22"/>
        </w:rPr>
        <w:t xml:space="preserve"> </w:t>
      </w:r>
    </w:p>
    <w:p w14:paraId="18E06ACC" w14:textId="54E4543C" w:rsidR="009B4E43" w:rsidRPr="00CB5F1D" w:rsidRDefault="009B4E43" w:rsidP="009B4E43">
      <w:pPr>
        <w:pStyle w:val="m-8088054778943683726m-2267498420393465527msolistparagraph"/>
        <w:numPr>
          <w:ilvl w:val="0"/>
          <w:numId w:val="35"/>
        </w:numPr>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b/>
          <w:color w:val="000000"/>
          <w:sz w:val="22"/>
          <w:szCs w:val="22"/>
        </w:rPr>
        <w:t>Timelines:</w:t>
      </w:r>
      <w:r w:rsidRPr="00CB5F1D">
        <w:rPr>
          <w:rFonts w:asciiTheme="minorHAnsi" w:hAnsiTheme="minorHAnsi" w:cstheme="minorHAnsi"/>
          <w:color w:val="000000"/>
          <w:sz w:val="22"/>
          <w:szCs w:val="22"/>
        </w:rPr>
        <w:t xml:space="preserve"> Timelines exist for when modificatio</w:t>
      </w:r>
      <w:r w:rsidR="00FE7A5F" w:rsidRPr="00CB5F1D">
        <w:rPr>
          <w:rFonts w:asciiTheme="minorHAnsi" w:hAnsiTheme="minorHAnsi" w:cstheme="minorHAnsi"/>
          <w:color w:val="000000"/>
          <w:sz w:val="22"/>
          <w:szCs w:val="22"/>
        </w:rPr>
        <w:t>n requests can be made in the ISP</w:t>
      </w:r>
      <w:r w:rsidRPr="00CB5F1D">
        <w:rPr>
          <w:rFonts w:asciiTheme="minorHAnsi" w:hAnsiTheme="minorHAnsi" w:cstheme="minorHAnsi"/>
          <w:color w:val="000000"/>
          <w:sz w:val="22"/>
          <w:szCs w:val="22"/>
        </w:rPr>
        <w:t xml:space="preserve"> and </w:t>
      </w:r>
      <w:r w:rsidR="00FE7A5F" w:rsidRPr="00CB5F1D">
        <w:rPr>
          <w:rFonts w:asciiTheme="minorHAnsi" w:hAnsiTheme="minorHAnsi" w:cstheme="minorHAnsi"/>
          <w:color w:val="000000"/>
          <w:sz w:val="22"/>
          <w:szCs w:val="22"/>
        </w:rPr>
        <w:t>DGSP</w:t>
      </w:r>
      <w:r w:rsidRPr="00CB5F1D">
        <w:rPr>
          <w:rFonts w:asciiTheme="minorHAnsi" w:hAnsiTheme="minorHAnsi" w:cstheme="minorHAnsi"/>
          <w:color w:val="000000"/>
          <w:sz w:val="22"/>
          <w:szCs w:val="22"/>
        </w:rPr>
        <w:t xml:space="preserve"> and timelines to review them.  Those timelines and tariff language does not exist in the Fast Track Process</w:t>
      </w:r>
    </w:p>
    <w:p w14:paraId="550B1DFA" w14:textId="46EC1DA1" w:rsidR="009B4E43" w:rsidRPr="00CB5F1D" w:rsidRDefault="009B4E43" w:rsidP="009B4E43">
      <w:pPr>
        <w:pStyle w:val="m-8088054778943683726m-2267498420393465527msolistparagraph"/>
        <w:numPr>
          <w:ilvl w:val="0"/>
          <w:numId w:val="35"/>
        </w:numPr>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b/>
          <w:color w:val="000000"/>
          <w:sz w:val="22"/>
          <w:szCs w:val="22"/>
        </w:rPr>
        <w:t>Financial Security:</w:t>
      </w:r>
      <w:r w:rsidRPr="00CB5F1D">
        <w:rPr>
          <w:rFonts w:asciiTheme="minorHAnsi" w:hAnsiTheme="minorHAnsi" w:cstheme="minorHAnsi"/>
          <w:color w:val="000000"/>
          <w:sz w:val="22"/>
          <w:szCs w:val="22"/>
        </w:rPr>
        <w:t xml:space="preserve"> Financial Security is provided within the </w:t>
      </w:r>
      <w:r w:rsidR="00FE7A5F" w:rsidRPr="00CB5F1D">
        <w:rPr>
          <w:rFonts w:asciiTheme="minorHAnsi" w:hAnsiTheme="minorHAnsi" w:cstheme="minorHAnsi"/>
          <w:color w:val="000000"/>
          <w:sz w:val="22"/>
          <w:szCs w:val="22"/>
        </w:rPr>
        <w:t>ISP and DGSP</w:t>
      </w:r>
      <w:r w:rsidRPr="00CB5F1D">
        <w:rPr>
          <w:rFonts w:asciiTheme="minorHAnsi" w:hAnsiTheme="minorHAnsi" w:cstheme="minorHAnsi"/>
          <w:color w:val="000000"/>
          <w:sz w:val="22"/>
          <w:szCs w:val="22"/>
        </w:rPr>
        <w:t xml:space="preserve"> as projects progress to ensure that although modifications are made, that they are serious projects.  This is important because modification of project sizes can impact other projects and financial securities help minimize such impacts.  These provisions do not exist in the Fast Track Process.</w:t>
      </w:r>
    </w:p>
    <w:p w14:paraId="40EEF6FB" w14:textId="1AAC0574" w:rsidR="009B4E43" w:rsidRPr="00CB5F1D" w:rsidRDefault="009B4E43" w:rsidP="009B4E43">
      <w:pPr>
        <w:pStyle w:val="m-8088054778943683726m-2267498420393465527msolistparagraph"/>
        <w:numPr>
          <w:ilvl w:val="0"/>
          <w:numId w:val="35"/>
        </w:numPr>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b/>
          <w:color w:val="000000"/>
          <w:sz w:val="22"/>
          <w:szCs w:val="22"/>
        </w:rPr>
        <w:t>Costs:</w:t>
      </w:r>
      <w:r w:rsidRPr="00CB5F1D">
        <w:rPr>
          <w:rFonts w:asciiTheme="minorHAnsi" w:hAnsiTheme="minorHAnsi" w:cstheme="minorHAnsi"/>
          <w:color w:val="000000"/>
          <w:sz w:val="22"/>
          <w:szCs w:val="22"/>
        </w:rPr>
        <w:t xml:space="preserve"> </w:t>
      </w:r>
      <w:proofErr w:type="gramStart"/>
      <w:r w:rsidR="00FE7A5F" w:rsidRPr="00CB5F1D">
        <w:rPr>
          <w:rFonts w:asciiTheme="minorHAnsi" w:hAnsiTheme="minorHAnsi" w:cstheme="minorHAnsi"/>
          <w:color w:val="000000"/>
          <w:sz w:val="22"/>
          <w:szCs w:val="22"/>
        </w:rPr>
        <w:t>Fast Track Process costs are covered by fees collected</w:t>
      </w:r>
      <w:proofErr w:type="gramEnd"/>
      <w:r w:rsidR="00FE7A5F" w:rsidRPr="00CB5F1D">
        <w:rPr>
          <w:rFonts w:asciiTheme="minorHAnsi" w:hAnsiTheme="minorHAnsi" w:cstheme="minorHAnsi"/>
          <w:color w:val="000000"/>
          <w:sz w:val="22"/>
          <w:szCs w:val="22"/>
        </w:rPr>
        <w:t>.  These fees were set based on historic costs of processing and engineering time to complete the Initial Review and Supplemental Review.  These costs do not include costs of re-performing reviews based on modified interconnection requests.  In contrast, ISP and DGSP are structured with deposits and actual costs to be billed once completed.</w:t>
      </w:r>
    </w:p>
    <w:p w14:paraId="73CD3FCE" w14:textId="14441492" w:rsidR="00FE7A5F" w:rsidRPr="00CB5F1D" w:rsidRDefault="00FE7A5F" w:rsidP="00FE7A5F">
      <w:pPr>
        <w:pStyle w:val="m-8088054778943683726m-2267498420393465527msolistparagraph"/>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color w:val="000000"/>
          <w:sz w:val="22"/>
          <w:szCs w:val="22"/>
        </w:rPr>
        <w:t>In addition to the structure of the process, it is important to emphasize that modification requests are reviewed for potential impact to other projects in the queue.  A DER project utilizes capacity on the transmission or distribution system</w:t>
      </w:r>
      <w:r w:rsidR="00DA5564" w:rsidRPr="00CB5F1D">
        <w:rPr>
          <w:rFonts w:asciiTheme="minorHAnsi" w:hAnsiTheme="minorHAnsi" w:cstheme="minorHAnsi"/>
          <w:color w:val="000000"/>
          <w:sz w:val="22"/>
          <w:szCs w:val="22"/>
        </w:rPr>
        <w:t>,</w:t>
      </w:r>
      <w:r w:rsidR="0048756A" w:rsidRPr="00CB5F1D">
        <w:rPr>
          <w:rFonts w:asciiTheme="minorHAnsi" w:hAnsiTheme="minorHAnsi" w:cstheme="minorHAnsi"/>
          <w:color w:val="000000"/>
          <w:sz w:val="22"/>
          <w:szCs w:val="22"/>
        </w:rPr>
        <w:t xml:space="preserve"> </w:t>
      </w:r>
      <w:r w:rsidR="001C5AFC" w:rsidRPr="00CB5F1D">
        <w:rPr>
          <w:rFonts w:asciiTheme="minorHAnsi" w:hAnsiTheme="minorHAnsi" w:cstheme="minorHAnsi"/>
          <w:color w:val="000000"/>
          <w:sz w:val="22"/>
          <w:szCs w:val="22"/>
        </w:rPr>
        <w:t xml:space="preserve">and if the DER </w:t>
      </w:r>
      <w:r w:rsidRPr="00CB5F1D">
        <w:rPr>
          <w:rFonts w:asciiTheme="minorHAnsi" w:hAnsiTheme="minorHAnsi" w:cstheme="minorHAnsi"/>
          <w:color w:val="000000"/>
          <w:sz w:val="22"/>
          <w:szCs w:val="22"/>
        </w:rPr>
        <w:t>adjust</w:t>
      </w:r>
      <w:r w:rsidR="001C5AFC" w:rsidRPr="00CB5F1D">
        <w:rPr>
          <w:rFonts w:asciiTheme="minorHAnsi" w:hAnsiTheme="minorHAnsi" w:cstheme="minorHAnsi"/>
          <w:color w:val="000000"/>
          <w:sz w:val="22"/>
          <w:szCs w:val="22"/>
        </w:rPr>
        <w:t>s</w:t>
      </w:r>
      <w:r w:rsidRPr="00CB5F1D">
        <w:rPr>
          <w:rFonts w:asciiTheme="minorHAnsi" w:hAnsiTheme="minorHAnsi" w:cstheme="minorHAnsi"/>
          <w:color w:val="000000"/>
          <w:sz w:val="22"/>
          <w:szCs w:val="22"/>
        </w:rPr>
        <w:t xml:space="preserve"> its capacity</w:t>
      </w:r>
      <w:r w:rsidR="001C5AFC" w:rsidRPr="00CB5F1D">
        <w:rPr>
          <w:rFonts w:asciiTheme="minorHAnsi" w:hAnsiTheme="minorHAnsi" w:cstheme="minorHAnsi"/>
          <w:color w:val="000000"/>
          <w:sz w:val="22"/>
          <w:szCs w:val="22"/>
        </w:rPr>
        <w:t>, that</w:t>
      </w:r>
      <w:r w:rsidRPr="00CB5F1D">
        <w:rPr>
          <w:rFonts w:asciiTheme="minorHAnsi" w:hAnsiTheme="minorHAnsi" w:cstheme="minorHAnsi"/>
          <w:color w:val="000000"/>
          <w:sz w:val="22"/>
          <w:szCs w:val="22"/>
        </w:rPr>
        <w:t xml:space="preserve"> can impact the available capacity or lack </w:t>
      </w:r>
      <w:r w:rsidR="0048756A" w:rsidRPr="00CB5F1D">
        <w:rPr>
          <w:rFonts w:asciiTheme="minorHAnsi" w:hAnsiTheme="minorHAnsi" w:cstheme="minorHAnsi"/>
          <w:color w:val="000000"/>
          <w:sz w:val="22"/>
          <w:szCs w:val="22"/>
        </w:rPr>
        <w:t>there</w:t>
      </w:r>
      <w:r w:rsidRPr="00CB5F1D">
        <w:rPr>
          <w:rFonts w:asciiTheme="minorHAnsi" w:hAnsiTheme="minorHAnsi" w:cstheme="minorHAnsi"/>
          <w:color w:val="000000"/>
          <w:sz w:val="22"/>
          <w:szCs w:val="22"/>
        </w:rPr>
        <w:t>of for another project.  This becomes problematic when the IOU has completed studies or reviews for a DER project but because of a modification made by another project, the results must be modified to reflect that change.  This causes a material impact to another interconnection party and must not be allowed to ensure fair and equitable treatment to all customers.</w:t>
      </w:r>
      <w:r w:rsidR="00030AC1" w:rsidRPr="00CB5F1D">
        <w:rPr>
          <w:rFonts w:asciiTheme="minorHAnsi" w:hAnsiTheme="minorHAnsi" w:cstheme="minorHAnsi"/>
          <w:color w:val="000000"/>
          <w:sz w:val="22"/>
          <w:szCs w:val="22"/>
        </w:rPr>
        <w:t xml:space="preserve">  In addition, </w:t>
      </w:r>
      <w:ins w:id="2" w:author="Brad Heavner" w:date="2018-01-31T19:09:00Z">
        <w:r w:rsidR="00C0076D">
          <w:rPr>
            <w:rFonts w:asciiTheme="minorHAnsi" w:hAnsiTheme="minorHAnsi" w:cstheme="minorHAnsi"/>
            <w:color w:val="000000"/>
            <w:sz w:val="22"/>
            <w:szCs w:val="22"/>
          </w:rPr>
          <w:t xml:space="preserve">small Net Energy Metering </w:t>
        </w:r>
      </w:ins>
      <w:r w:rsidR="00030AC1" w:rsidRPr="00CB5F1D">
        <w:rPr>
          <w:rFonts w:asciiTheme="minorHAnsi" w:hAnsiTheme="minorHAnsi" w:cstheme="minorHAnsi"/>
          <w:color w:val="000000"/>
          <w:sz w:val="22"/>
          <w:szCs w:val="22"/>
        </w:rPr>
        <w:t xml:space="preserve">projects </w:t>
      </w:r>
      <w:del w:id="3" w:author="Brad Heavner" w:date="2018-01-31T19:09:00Z">
        <w:r w:rsidR="00030AC1" w:rsidRPr="00CB5F1D" w:rsidDel="00C0076D">
          <w:rPr>
            <w:rFonts w:asciiTheme="minorHAnsi" w:hAnsiTheme="minorHAnsi" w:cstheme="minorHAnsi"/>
            <w:color w:val="000000"/>
            <w:sz w:val="22"/>
            <w:szCs w:val="22"/>
          </w:rPr>
          <w:delText xml:space="preserve">processed under programs such as Net Energy Metering, </w:delText>
        </w:r>
      </w:del>
      <w:r w:rsidR="00030AC1" w:rsidRPr="00CB5F1D">
        <w:rPr>
          <w:rFonts w:asciiTheme="minorHAnsi" w:hAnsiTheme="minorHAnsi" w:cstheme="minorHAnsi"/>
          <w:color w:val="000000"/>
          <w:sz w:val="22"/>
          <w:szCs w:val="22"/>
        </w:rPr>
        <w:t xml:space="preserve">represent significant volumes to each IOU and generally have been able to be processed under very expedited timelines that are much lower than what is </w:t>
      </w:r>
      <w:del w:id="4" w:author="Brad Heavner" w:date="2018-01-31T19:08:00Z">
        <w:r w:rsidR="00030AC1" w:rsidRPr="00CB5F1D" w:rsidDel="00C0076D">
          <w:rPr>
            <w:rFonts w:asciiTheme="minorHAnsi" w:hAnsiTheme="minorHAnsi" w:cstheme="minorHAnsi"/>
            <w:color w:val="000000"/>
            <w:sz w:val="22"/>
            <w:szCs w:val="22"/>
          </w:rPr>
          <w:delText>allowed under the interconnection tariff due to the nature of these projects</w:delText>
        </w:r>
      </w:del>
      <w:ins w:id="5" w:author="Brad Heavner" w:date="2018-01-31T19:08:00Z">
        <w:r w:rsidR="00C0076D">
          <w:rPr>
            <w:rFonts w:asciiTheme="minorHAnsi" w:hAnsiTheme="minorHAnsi" w:cstheme="minorHAnsi"/>
            <w:color w:val="000000"/>
            <w:sz w:val="22"/>
            <w:szCs w:val="22"/>
          </w:rPr>
          <w:t>common for larger projects</w:t>
        </w:r>
      </w:ins>
      <w:r w:rsidR="00030AC1" w:rsidRPr="00CB5F1D">
        <w:rPr>
          <w:rFonts w:asciiTheme="minorHAnsi" w:hAnsiTheme="minorHAnsi" w:cstheme="minorHAnsi"/>
          <w:color w:val="000000"/>
          <w:sz w:val="22"/>
          <w:szCs w:val="22"/>
        </w:rPr>
        <w:t xml:space="preserve">.  Another consideration to allowing modifications and to what </w:t>
      </w:r>
      <w:proofErr w:type="gramStart"/>
      <w:r w:rsidR="00030AC1" w:rsidRPr="00CB5F1D">
        <w:rPr>
          <w:rFonts w:asciiTheme="minorHAnsi" w:hAnsiTheme="minorHAnsi" w:cstheme="minorHAnsi"/>
          <w:color w:val="000000"/>
          <w:sz w:val="22"/>
          <w:szCs w:val="22"/>
        </w:rPr>
        <w:t>extent,</w:t>
      </w:r>
      <w:proofErr w:type="gramEnd"/>
      <w:r w:rsidR="00030AC1" w:rsidRPr="00CB5F1D">
        <w:rPr>
          <w:rFonts w:asciiTheme="minorHAnsi" w:hAnsiTheme="minorHAnsi" w:cstheme="minorHAnsi"/>
          <w:color w:val="000000"/>
          <w:sz w:val="22"/>
          <w:szCs w:val="22"/>
        </w:rPr>
        <w:t xml:space="preserve"> is to not compromise the current timelines that these projects benefit from.  </w:t>
      </w:r>
    </w:p>
    <w:p w14:paraId="6D9974F6" w14:textId="2524B45E" w:rsidR="0074246B" w:rsidRPr="00CB5F1D" w:rsidRDefault="00FE7A5F" w:rsidP="00693175">
      <w:pPr>
        <w:pStyle w:val="m-8088054778943683726m-2267498420393465527msolistparagraph"/>
        <w:shd w:val="clear" w:color="auto" w:fill="FFFFFF"/>
        <w:spacing w:before="0" w:beforeAutospacing="0"/>
        <w:jc w:val="both"/>
        <w:rPr>
          <w:rFonts w:asciiTheme="minorHAnsi" w:hAnsiTheme="minorHAnsi" w:cstheme="minorHAnsi"/>
          <w:color w:val="000000"/>
          <w:sz w:val="22"/>
          <w:szCs w:val="22"/>
        </w:rPr>
      </w:pPr>
      <w:r w:rsidRPr="00CB5F1D">
        <w:rPr>
          <w:rFonts w:asciiTheme="minorHAnsi" w:hAnsiTheme="minorHAnsi" w:cstheme="minorHAnsi"/>
          <w:color w:val="000000"/>
          <w:sz w:val="22"/>
          <w:szCs w:val="22"/>
        </w:rPr>
        <w:t xml:space="preserve">With these principles in mind, the IOUs agree that not all modification requests are equal and that some modification requests should be considered </w:t>
      </w:r>
      <w:r w:rsidR="00AC5885" w:rsidRPr="00CB5F1D">
        <w:rPr>
          <w:rFonts w:asciiTheme="minorHAnsi" w:hAnsiTheme="minorHAnsi" w:cstheme="minorHAnsi"/>
          <w:color w:val="000000"/>
          <w:sz w:val="22"/>
          <w:szCs w:val="22"/>
        </w:rPr>
        <w:t xml:space="preserve">given </w:t>
      </w:r>
      <w:r w:rsidR="00030AC1" w:rsidRPr="00CB5F1D">
        <w:rPr>
          <w:rFonts w:asciiTheme="minorHAnsi" w:hAnsiTheme="minorHAnsi" w:cstheme="minorHAnsi"/>
          <w:color w:val="000000"/>
          <w:sz w:val="22"/>
          <w:szCs w:val="22"/>
        </w:rPr>
        <w:t xml:space="preserve">in cases that a system re-study is </w:t>
      </w:r>
      <w:r w:rsidR="00AB6C41" w:rsidRPr="00CB5F1D">
        <w:rPr>
          <w:rFonts w:asciiTheme="minorHAnsi" w:hAnsiTheme="minorHAnsi" w:cstheme="minorHAnsi"/>
          <w:color w:val="000000"/>
          <w:sz w:val="22"/>
          <w:szCs w:val="22"/>
        </w:rPr>
        <w:t xml:space="preserve">not </w:t>
      </w:r>
      <w:r w:rsidR="00030AC1" w:rsidRPr="00CB5F1D">
        <w:rPr>
          <w:rFonts w:asciiTheme="minorHAnsi" w:hAnsiTheme="minorHAnsi" w:cstheme="minorHAnsi"/>
          <w:color w:val="000000"/>
          <w:sz w:val="22"/>
          <w:szCs w:val="22"/>
        </w:rPr>
        <w:t xml:space="preserve">required </w:t>
      </w:r>
      <w:r w:rsidR="00AC5885" w:rsidRPr="00CB5F1D">
        <w:rPr>
          <w:rFonts w:asciiTheme="minorHAnsi" w:hAnsiTheme="minorHAnsi" w:cstheme="minorHAnsi"/>
          <w:color w:val="000000"/>
          <w:sz w:val="22"/>
          <w:szCs w:val="22"/>
        </w:rPr>
        <w:t>or that it does not have a material impact on another party.</w:t>
      </w:r>
      <w:r w:rsidR="00693175" w:rsidRPr="00CB5F1D">
        <w:rPr>
          <w:rFonts w:asciiTheme="minorHAnsi" w:hAnsiTheme="minorHAnsi" w:cstheme="minorHAnsi"/>
          <w:color w:val="000000"/>
          <w:sz w:val="22"/>
          <w:szCs w:val="22"/>
        </w:rPr>
        <w:t xml:space="preserve">  </w:t>
      </w:r>
      <w:r w:rsidR="00827804" w:rsidRPr="00CB5F1D">
        <w:rPr>
          <w:rFonts w:asciiTheme="minorHAnsi" w:hAnsiTheme="minorHAnsi"/>
          <w:color w:val="000000"/>
          <w:sz w:val="22"/>
          <w:szCs w:val="22"/>
        </w:rPr>
        <w:t xml:space="preserve"> </w:t>
      </w:r>
    </w:p>
    <w:p w14:paraId="14CC66EC" w14:textId="77777777" w:rsidR="0074246B" w:rsidRPr="00D86D5C" w:rsidRDefault="0074246B" w:rsidP="0074246B">
      <w:pPr>
        <w:rPr>
          <w:rFonts w:asciiTheme="minorHAnsi" w:hAnsiTheme="minorHAnsi"/>
          <w:b/>
          <w:color w:val="000000"/>
        </w:rPr>
      </w:pPr>
    </w:p>
    <w:p w14:paraId="195F9AA7" w14:textId="36ABF7B0" w:rsidR="00044A91" w:rsidRPr="00F91788" w:rsidRDefault="00EE6766" w:rsidP="00693175">
      <w:pPr>
        <w:pStyle w:val="ListParagraph"/>
        <w:numPr>
          <w:ilvl w:val="0"/>
          <w:numId w:val="28"/>
        </w:numPr>
        <w:rPr>
          <w:rFonts w:asciiTheme="majorHAnsi" w:hAnsiTheme="majorHAnsi"/>
          <w:b/>
          <w:color w:val="000000"/>
        </w:rPr>
      </w:pPr>
      <w:r w:rsidRPr="00F91788">
        <w:rPr>
          <w:rFonts w:asciiTheme="majorHAnsi" w:hAnsiTheme="majorHAnsi"/>
          <w:b/>
          <w:color w:val="000000"/>
        </w:rPr>
        <w:t xml:space="preserve">Working Group </w:t>
      </w:r>
      <w:r w:rsidR="00693175" w:rsidRPr="00F91788">
        <w:rPr>
          <w:rFonts w:asciiTheme="majorHAnsi" w:hAnsiTheme="majorHAnsi"/>
          <w:b/>
          <w:color w:val="000000"/>
        </w:rPr>
        <w:t>Proposal</w:t>
      </w:r>
    </w:p>
    <w:p w14:paraId="195F9AA8" w14:textId="77777777" w:rsidR="001D7580" w:rsidRPr="00F91788" w:rsidRDefault="001D7580" w:rsidP="008611E7">
      <w:pPr>
        <w:rPr>
          <w:rFonts w:asciiTheme="minorHAnsi" w:hAnsiTheme="minorHAnsi"/>
        </w:rPr>
      </w:pPr>
    </w:p>
    <w:p w14:paraId="195F9AA9" w14:textId="2C5A1C8A" w:rsidR="004D4033" w:rsidRPr="00F91788" w:rsidRDefault="00EE6766" w:rsidP="008611E7">
      <w:pPr>
        <w:rPr>
          <w:rFonts w:asciiTheme="majorHAnsi" w:hAnsiTheme="majorHAnsi"/>
          <w:b/>
          <w:i/>
          <w:color w:val="000000"/>
        </w:rPr>
      </w:pPr>
      <w:r w:rsidRPr="00F91788">
        <w:rPr>
          <w:rFonts w:asciiTheme="majorHAnsi" w:hAnsiTheme="majorHAnsi"/>
          <w:b/>
          <w:i/>
          <w:color w:val="000000"/>
        </w:rPr>
        <w:t xml:space="preserve">Proposal </w:t>
      </w:r>
      <w:r w:rsidR="001D7580" w:rsidRPr="00F91788">
        <w:rPr>
          <w:rFonts w:asciiTheme="majorHAnsi" w:hAnsiTheme="majorHAnsi"/>
          <w:b/>
          <w:i/>
          <w:color w:val="000000"/>
        </w:rPr>
        <w:t>1</w:t>
      </w:r>
      <w:r w:rsidRPr="00F91788">
        <w:rPr>
          <w:rFonts w:asciiTheme="majorHAnsi" w:hAnsiTheme="majorHAnsi"/>
          <w:b/>
          <w:i/>
          <w:color w:val="000000"/>
        </w:rPr>
        <w:t>:</w:t>
      </w:r>
      <w:r w:rsidR="001D7580" w:rsidRPr="00F91788">
        <w:rPr>
          <w:rFonts w:asciiTheme="majorHAnsi" w:hAnsiTheme="majorHAnsi"/>
          <w:b/>
          <w:i/>
          <w:color w:val="000000"/>
        </w:rPr>
        <w:t xml:space="preserve"> </w:t>
      </w:r>
      <w:r w:rsidR="00693175" w:rsidRPr="00F91788">
        <w:rPr>
          <w:rFonts w:asciiTheme="majorHAnsi" w:hAnsiTheme="majorHAnsi"/>
          <w:b/>
          <w:i/>
          <w:color w:val="000000"/>
        </w:rPr>
        <w:t>Modify</w:t>
      </w:r>
      <w:r w:rsidR="001A43DF" w:rsidRPr="00F91788">
        <w:rPr>
          <w:rFonts w:asciiTheme="majorHAnsi" w:hAnsiTheme="majorHAnsi"/>
          <w:b/>
          <w:i/>
          <w:color w:val="000000"/>
        </w:rPr>
        <w:t xml:space="preserve"> Rule 21 to </w:t>
      </w:r>
      <w:r w:rsidR="00693175" w:rsidRPr="00F91788">
        <w:rPr>
          <w:rFonts w:asciiTheme="majorHAnsi" w:hAnsiTheme="majorHAnsi"/>
          <w:b/>
          <w:i/>
          <w:color w:val="000000"/>
        </w:rPr>
        <w:t>Allow Certain Modifications under Fast Track</w:t>
      </w:r>
    </w:p>
    <w:p w14:paraId="195F9AAA" w14:textId="77777777" w:rsidR="000C5BE4" w:rsidRPr="00F91788" w:rsidRDefault="000C5BE4" w:rsidP="008611E7">
      <w:pPr>
        <w:rPr>
          <w:rFonts w:asciiTheme="minorHAnsi" w:hAnsiTheme="minorHAnsi"/>
          <w:color w:val="000000"/>
        </w:rPr>
      </w:pPr>
    </w:p>
    <w:p w14:paraId="195F9AAB" w14:textId="27B3E888" w:rsidR="007500C1" w:rsidRPr="00F91788" w:rsidRDefault="007500C1" w:rsidP="008611E7">
      <w:pPr>
        <w:rPr>
          <w:rFonts w:asciiTheme="minorHAnsi" w:hAnsiTheme="minorHAnsi"/>
          <w:color w:val="A6A6A6" w:themeColor="background1" w:themeShade="A6"/>
        </w:rPr>
      </w:pPr>
      <w:r w:rsidRPr="00F91788">
        <w:rPr>
          <w:rFonts w:asciiTheme="minorHAnsi" w:hAnsiTheme="minorHAnsi"/>
          <w:color w:val="000000"/>
          <w:u w:val="single"/>
        </w:rPr>
        <w:t>Status</w:t>
      </w:r>
      <w:r w:rsidRPr="00F91788">
        <w:rPr>
          <w:rFonts w:asciiTheme="minorHAnsi" w:hAnsiTheme="minorHAnsi"/>
          <w:color w:val="000000"/>
        </w:rPr>
        <w:t>: Consensus</w:t>
      </w:r>
      <w:r w:rsidR="000927E3" w:rsidRPr="00F91788">
        <w:rPr>
          <w:rFonts w:asciiTheme="minorHAnsi" w:hAnsiTheme="minorHAnsi"/>
          <w:color w:val="000000"/>
        </w:rPr>
        <w:t xml:space="preserve"> on the core proposal</w:t>
      </w:r>
    </w:p>
    <w:p w14:paraId="195F9AB0" w14:textId="77777777" w:rsidR="00A7443A" w:rsidRPr="00F91788" w:rsidRDefault="00A7443A" w:rsidP="008611E7">
      <w:pPr>
        <w:rPr>
          <w:rFonts w:asciiTheme="minorHAnsi" w:hAnsiTheme="minorHAnsi"/>
          <w:color w:val="000000"/>
        </w:rPr>
      </w:pPr>
    </w:p>
    <w:p w14:paraId="57A3F109" w14:textId="3F897A83" w:rsidR="00C118A6" w:rsidRPr="00F91788" w:rsidRDefault="0010773F" w:rsidP="00BA0E28">
      <w:pPr>
        <w:rPr>
          <w:rFonts w:asciiTheme="minorHAnsi" w:hAnsiTheme="minorHAnsi"/>
          <w:color w:val="000000"/>
        </w:rPr>
      </w:pPr>
      <w:r w:rsidRPr="00F91788">
        <w:rPr>
          <w:rFonts w:asciiTheme="minorHAnsi" w:hAnsiTheme="minorHAnsi"/>
          <w:color w:val="000000"/>
          <w:u w:val="single"/>
        </w:rPr>
        <w:t>Discussion</w:t>
      </w:r>
      <w:r w:rsidR="00F55C58" w:rsidRPr="00F91788">
        <w:rPr>
          <w:rFonts w:asciiTheme="minorHAnsi" w:hAnsiTheme="minorHAnsi"/>
          <w:color w:val="000000"/>
        </w:rPr>
        <w:t xml:space="preserve">: </w:t>
      </w:r>
      <w:r w:rsidR="00BA0E28" w:rsidRPr="00F91788">
        <w:rPr>
          <w:rFonts w:asciiTheme="minorHAnsi" w:hAnsiTheme="minorHAnsi"/>
          <w:color w:val="000000"/>
        </w:rPr>
        <w:t xml:space="preserve">The </w:t>
      </w:r>
      <w:r w:rsidR="005E0932">
        <w:rPr>
          <w:rFonts w:asciiTheme="minorHAnsi" w:hAnsiTheme="minorHAnsi"/>
          <w:color w:val="000000"/>
        </w:rPr>
        <w:t xml:space="preserve">working group recommends the Commission </w:t>
      </w:r>
      <w:r w:rsidR="00B07F01">
        <w:rPr>
          <w:rFonts w:asciiTheme="minorHAnsi" w:hAnsiTheme="minorHAnsi"/>
          <w:color w:val="000000"/>
        </w:rPr>
        <w:t xml:space="preserve">allow </w:t>
      </w:r>
      <w:r w:rsidR="00BA0E28" w:rsidRPr="00F91788">
        <w:rPr>
          <w:rFonts w:asciiTheme="minorHAnsi" w:hAnsiTheme="minorHAnsi"/>
          <w:color w:val="000000"/>
        </w:rPr>
        <w:t xml:space="preserve">the </w:t>
      </w:r>
      <w:r w:rsidR="00B07F01">
        <w:rPr>
          <w:rFonts w:asciiTheme="minorHAnsi" w:hAnsiTheme="minorHAnsi"/>
          <w:color w:val="000000"/>
        </w:rPr>
        <w:t>following</w:t>
      </w:r>
      <w:r w:rsidR="00B07F01" w:rsidRPr="00D86D5C">
        <w:rPr>
          <w:rFonts w:asciiTheme="minorHAnsi" w:hAnsiTheme="minorHAnsi"/>
          <w:color w:val="000000"/>
        </w:rPr>
        <w:t xml:space="preserve"> </w:t>
      </w:r>
      <w:r w:rsidR="00BA0E28" w:rsidRPr="00F91788">
        <w:rPr>
          <w:rFonts w:asciiTheme="minorHAnsi" w:hAnsiTheme="minorHAnsi"/>
          <w:color w:val="000000"/>
        </w:rPr>
        <w:t>modification</w:t>
      </w:r>
      <w:r w:rsidR="000A0226">
        <w:rPr>
          <w:rFonts w:asciiTheme="minorHAnsi" w:hAnsiTheme="minorHAnsi"/>
          <w:color w:val="000000"/>
        </w:rPr>
        <w:t>s</w:t>
      </w:r>
      <w:r w:rsidR="00BA0E28" w:rsidRPr="00F91788">
        <w:rPr>
          <w:rFonts w:asciiTheme="minorHAnsi" w:hAnsiTheme="minorHAnsi"/>
          <w:color w:val="000000"/>
        </w:rPr>
        <w:t xml:space="preserve"> under the Fast Track Process</w:t>
      </w:r>
      <w:r w:rsidR="00B07F01">
        <w:rPr>
          <w:rFonts w:asciiTheme="minorHAnsi" w:hAnsiTheme="minorHAnsi"/>
          <w:color w:val="000000"/>
        </w:rPr>
        <w:t xml:space="preserve"> </w:t>
      </w:r>
      <w:r w:rsidR="005E0932">
        <w:rPr>
          <w:rFonts w:asciiTheme="minorHAnsi" w:hAnsiTheme="minorHAnsi"/>
          <w:color w:val="000000"/>
        </w:rPr>
        <w:t xml:space="preserve">for all projects </w:t>
      </w:r>
      <w:r w:rsidR="00B07F01">
        <w:rPr>
          <w:rFonts w:asciiTheme="minorHAnsi" w:hAnsiTheme="minorHAnsi"/>
          <w:color w:val="000000"/>
        </w:rPr>
        <w:t>(also presented in Table 1 in Attachment [</w:t>
      </w:r>
      <w:r w:rsidR="00B07F01" w:rsidRPr="00A26CAD">
        <w:rPr>
          <w:rFonts w:asciiTheme="minorHAnsi" w:hAnsiTheme="minorHAnsi"/>
          <w:color w:val="000000"/>
          <w:highlight w:val="yellow"/>
        </w:rPr>
        <w:t>X</w:t>
      </w:r>
      <w:r w:rsidR="00B07F01">
        <w:rPr>
          <w:rFonts w:asciiTheme="minorHAnsi" w:hAnsiTheme="minorHAnsi"/>
          <w:color w:val="000000"/>
        </w:rPr>
        <w:t>]):</w:t>
      </w:r>
    </w:p>
    <w:p w14:paraId="67366C90" w14:textId="2A67DE3D" w:rsidR="00F91788" w:rsidRPr="00D86D5C" w:rsidRDefault="00F91788" w:rsidP="00BA0E28">
      <w:pPr>
        <w:rPr>
          <w:rFonts w:asciiTheme="minorHAnsi" w:hAnsiTheme="minorHAnsi"/>
          <w:color w:val="000000"/>
        </w:rPr>
      </w:pPr>
    </w:p>
    <w:p w14:paraId="3E053961" w14:textId="5211C718" w:rsidR="005E6357" w:rsidRDefault="005E6357" w:rsidP="00BA0E28">
      <w:pPr>
        <w:pStyle w:val="ListParagraph"/>
        <w:numPr>
          <w:ilvl w:val="0"/>
          <w:numId w:val="43"/>
        </w:numPr>
        <w:rPr>
          <w:rFonts w:asciiTheme="minorHAnsi" w:hAnsiTheme="minorHAnsi"/>
          <w:color w:val="000000"/>
        </w:rPr>
      </w:pPr>
      <w:r w:rsidRPr="00CB5F1D">
        <w:rPr>
          <w:rFonts w:asciiTheme="minorHAnsi" w:hAnsiTheme="minorHAnsi"/>
          <w:b/>
          <w:color w:val="000000"/>
        </w:rPr>
        <w:t>Like-for-like</w:t>
      </w:r>
      <w:r w:rsidRPr="00CB5F1D">
        <w:rPr>
          <w:rStyle w:val="FootnoteReference"/>
          <w:rFonts w:asciiTheme="minorHAnsi" w:hAnsiTheme="minorHAnsi"/>
          <w:b/>
          <w:color w:val="000000"/>
        </w:rPr>
        <w:footnoteReference w:id="3"/>
      </w:r>
      <w:r w:rsidRPr="00CB5F1D">
        <w:rPr>
          <w:rFonts w:asciiTheme="minorHAnsi" w:hAnsiTheme="minorHAnsi"/>
          <w:b/>
          <w:color w:val="000000"/>
        </w:rPr>
        <w:t xml:space="preserve"> e</w:t>
      </w:r>
      <w:r w:rsidR="00BA0E28" w:rsidRPr="00CB5F1D">
        <w:rPr>
          <w:rFonts w:asciiTheme="minorHAnsi" w:hAnsiTheme="minorHAnsi"/>
          <w:b/>
          <w:color w:val="000000"/>
        </w:rPr>
        <w:t xml:space="preserve">quipment </w:t>
      </w:r>
      <w:r w:rsidRPr="00CB5F1D">
        <w:rPr>
          <w:rFonts w:asciiTheme="minorHAnsi" w:hAnsiTheme="minorHAnsi"/>
          <w:b/>
          <w:color w:val="000000"/>
        </w:rPr>
        <w:t>replacement</w:t>
      </w:r>
      <w:r w:rsidR="000A0226">
        <w:rPr>
          <w:rFonts w:asciiTheme="minorHAnsi" w:hAnsiTheme="minorHAnsi"/>
          <w:b/>
          <w:color w:val="000000"/>
        </w:rPr>
        <w:t>s</w:t>
      </w:r>
      <w:r w:rsidR="000A0226">
        <w:rPr>
          <w:rFonts w:asciiTheme="minorHAnsi" w:hAnsiTheme="minorHAnsi"/>
          <w:color w:val="000000"/>
        </w:rPr>
        <w:t xml:space="preserve"> that meet</w:t>
      </w:r>
      <w:r>
        <w:rPr>
          <w:rFonts w:asciiTheme="minorHAnsi" w:hAnsiTheme="minorHAnsi"/>
          <w:color w:val="000000"/>
        </w:rPr>
        <w:t xml:space="preserve"> the following criteria:</w:t>
      </w:r>
    </w:p>
    <w:p w14:paraId="649FE497" w14:textId="7FCE2F22" w:rsidR="005E6357" w:rsidRDefault="005E6357" w:rsidP="00CB5F1D">
      <w:pPr>
        <w:pStyle w:val="ListParagraph"/>
        <w:numPr>
          <w:ilvl w:val="1"/>
          <w:numId w:val="43"/>
        </w:numPr>
        <w:rPr>
          <w:rFonts w:asciiTheme="minorHAnsi" w:hAnsiTheme="minorHAnsi"/>
          <w:color w:val="000000"/>
        </w:rPr>
      </w:pPr>
      <w:r>
        <w:rPr>
          <w:rFonts w:asciiTheme="minorHAnsi" w:hAnsiTheme="minorHAnsi"/>
          <w:color w:val="000000"/>
        </w:rPr>
        <w:t xml:space="preserve">Does not increase system size </w:t>
      </w:r>
    </w:p>
    <w:p w14:paraId="3B83B337" w14:textId="44B79821" w:rsidR="005E6357" w:rsidRDefault="005E6357" w:rsidP="00CB5F1D">
      <w:pPr>
        <w:pStyle w:val="ListParagraph"/>
        <w:numPr>
          <w:ilvl w:val="1"/>
          <w:numId w:val="43"/>
        </w:numPr>
        <w:rPr>
          <w:rFonts w:asciiTheme="minorHAnsi" w:hAnsiTheme="minorHAnsi"/>
          <w:color w:val="000000"/>
        </w:rPr>
      </w:pPr>
      <w:r>
        <w:rPr>
          <w:rFonts w:asciiTheme="minorHAnsi" w:hAnsiTheme="minorHAnsi"/>
          <w:color w:val="000000"/>
        </w:rPr>
        <w:t>Any</w:t>
      </w:r>
      <w:r w:rsidR="00D86D5C">
        <w:rPr>
          <w:rFonts w:asciiTheme="minorHAnsi" w:hAnsiTheme="minorHAnsi"/>
          <w:color w:val="000000"/>
        </w:rPr>
        <w:t xml:space="preserve"> </w:t>
      </w:r>
      <w:r>
        <w:rPr>
          <w:rFonts w:asciiTheme="minorHAnsi" w:hAnsiTheme="minorHAnsi"/>
          <w:color w:val="000000"/>
        </w:rPr>
        <w:t>decrease in s</w:t>
      </w:r>
      <w:r w:rsidRPr="00D86D5C">
        <w:rPr>
          <w:rFonts w:asciiTheme="minorHAnsi" w:hAnsiTheme="minorHAnsi"/>
          <w:color w:val="000000"/>
        </w:rPr>
        <w:t>ize</w:t>
      </w:r>
      <w:r w:rsidR="00DA5564" w:rsidRPr="00F91788">
        <w:rPr>
          <w:rStyle w:val="FootnoteReference"/>
          <w:rFonts w:asciiTheme="minorHAnsi" w:hAnsiTheme="minorHAnsi"/>
          <w:color w:val="000000"/>
        </w:rPr>
        <w:footnoteReference w:id="4"/>
      </w:r>
      <w:r w:rsidR="00BA0E28" w:rsidRPr="00F91788">
        <w:rPr>
          <w:rFonts w:asciiTheme="minorHAnsi" w:hAnsiTheme="minorHAnsi"/>
          <w:color w:val="000000"/>
        </w:rPr>
        <w:t xml:space="preserve"> </w:t>
      </w:r>
      <w:r>
        <w:rPr>
          <w:rFonts w:asciiTheme="minorHAnsi" w:hAnsiTheme="minorHAnsi"/>
          <w:color w:val="000000"/>
        </w:rPr>
        <w:t xml:space="preserve">does not exceed </w:t>
      </w:r>
      <w:r w:rsidR="00E71F4D" w:rsidRPr="00F91788">
        <w:rPr>
          <w:rFonts w:asciiTheme="minorHAnsi" w:hAnsiTheme="minorHAnsi"/>
          <w:color w:val="000000"/>
        </w:rPr>
        <w:t>2</w:t>
      </w:r>
      <w:r w:rsidR="00C118A6" w:rsidRPr="00F91788">
        <w:rPr>
          <w:rFonts w:asciiTheme="minorHAnsi" w:hAnsiTheme="minorHAnsi"/>
          <w:color w:val="000000"/>
        </w:rPr>
        <w:t>0%</w:t>
      </w:r>
    </w:p>
    <w:p w14:paraId="020B587E" w14:textId="4274F245" w:rsidR="00BA0E28" w:rsidRPr="00F91788" w:rsidRDefault="005E6357" w:rsidP="00CB5F1D">
      <w:pPr>
        <w:pStyle w:val="ListParagraph"/>
        <w:numPr>
          <w:ilvl w:val="1"/>
          <w:numId w:val="43"/>
        </w:numPr>
        <w:rPr>
          <w:rFonts w:asciiTheme="minorHAnsi" w:hAnsiTheme="minorHAnsi"/>
          <w:color w:val="000000"/>
        </w:rPr>
      </w:pPr>
      <w:r>
        <w:rPr>
          <w:rFonts w:asciiTheme="minorHAnsi" w:hAnsiTheme="minorHAnsi"/>
          <w:color w:val="000000"/>
        </w:rPr>
        <w:t>N</w:t>
      </w:r>
      <w:r w:rsidR="00BA0E28" w:rsidRPr="00F91788">
        <w:rPr>
          <w:rFonts w:asciiTheme="minorHAnsi" w:hAnsiTheme="minorHAnsi"/>
          <w:color w:val="000000"/>
        </w:rPr>
        <w:t>o upgrades or mitigations</w:t>
      </w:r>
      <w:r>
        <w:rPr>
          <w:rFonts w:asciiTheme="minorHAnsi" w:hAnsiTheme="minorHAnsi"/>
          <w:color w:val="000000"/>
        </w:rPr>
        <w:t xml:space="preserve"> are</w:t>
      </w:r>
      <w:r w:rsidR="00BA0E28" w:rsidRPr="00F91788">
        <w:rPr>
          <w:rFonts w:asciiTheme="minorHAnsi" w:hAnsiTheme="minorHAnsi"/>
          <w:color w:val="000000"/>
        </w:rPr>
        <w:t xml:space="preserve"> identified</w:t>
      </w:r>
    </w:p>
    <w:p w14:paraId="392A05AC" w14:textId="022E6AD3" w:rsidR="000A0226" w:rsidRDefault="00BA0E28" w:rsidP="00F54375">
      <w:pPr>
        <w:pStyle w:val="ListParagraph"/>
        <w:numPr>
          <w:ilvl w:val="0"/>
          <w:numId w:val="43"/>
        </w:numPr>
        <w:rPr>
          <w:rFonts w:asciiTheme="minorHAnsi" w:hAnsiTheme="minorHAnsi"/>
          <w:color w:val="000000"/>
        </w:rPr>
      </w:pPr>
      <w:r w:rsidRPr="00CB5F1D">
        <w:rPr>
          <w:rFonts w:asciiTheme="minorHAnsi" w:hAnsiTheme="minorHAnsi"/>
          <w:b/>
          <w:color w:val="000000"/>
        </w:rPr>
        <w:t xml:space="preserve">Size </w:t>
      </w:r>
      <w:r w:rsidR="000A0226" w:rsidRPr="00CB5F1D">
        <w:rPr>
          <w:rFonts w:asciiTheme="minorHAnsi" w:hAnsiTheme="minorHAnsi"/>
          <w:b/>
          <w:color w:val="000000"/>
        </w:rPr>
        <w:t>r</w:t>
      </w:r>
      <w:r w:rsidRPr="00CB5F1D">
        <w:rPr>
          <w:rFonts w:asciiTheme="minorHAnsi" w:hAnsiTheme="minorHAnsi"/>
          <w:b/>
          <w:color w:val="000000"/>
        </w:rPr>
        <w:t>eduction</w:t>
      </w:r>
      <w:r w:rsidR="000A0226">
        <w:rPr>
          <w:rFonts w:asciiTheme="minorHAnsi" w:hAnsiTheme="minorHAnsi"/>
          <w:b/>
          <w:color w:val="000000"/>
        </w:rPr>
        <w:t>s</w:t>
      </w:r>
      <w:r w:rsidR="000A0226">
        <w:rPr>
          <w:rFonts w:asciiTheme="minorHAnsi" w:hAnsiTheme="minorHAnsi"/>
          <w:color w:val="000000"/>
        </w:rPr>
        <w:t xml:space="preserve"> that meet the following criteria:</w:t>
      </w:r>
    </w:p>
    <w:p w14:paraId="4F529625" w14:textId="49C4C165" w:rsidR="000A0226" w:rsidRDefault="000A0226" w:rsidP="00CB5F1D">
      <w:pPr>
        <w:pStyle w:val="ListParagraph"/>
        <w:numPr>
          <w:ilvl w:val="1"/>
          <w:numId w:val="43"/>
        </w:numPr>
        <w:rPr>
          <w:rFonts w:asciiTheme="minorHAnsi" w:hAnsiTheme="minorHAnsi"/>
          <w:color w:val="000000"/>
        </w:rPr>
      </w:pPr>
      <w:r>
        <w:rPr>
          <w:rFonts w:asciiTheme="minorHAnsi" w:hAnsiTheme="minorHAnsi"/>
          <w:color w:val="000000"/>
        </w:rPr>
        <w:t>The size reduction does not exceed 20%</w:t>
      </w:r>
    </w:p>
    <w:p w14:paraId="51DC2C59" w14:textId="0E89512D" w:rsidR="00F54375" w:rsidRPr="00F91788" w:rsidRDefault="000A0226" w:rsidP="00CB5F1D">
      <w:pPr>
        <w:pStyle w:val="ListParagraph"/>
        <w:numPr>
          <w:ilvl w:val="1"/>
          <w:numId w:val="43"/>
        </w:numPr>
        <w:rPr>
          <w:rFonts w:asciiTheme="minorHAnsi" w:hAnsiTheme="minorHAnsi"/>
          <w:color w:val="000000"/>
        </w:rPr>
      </w:pPr>
      <w:r>
        <w:rPr>
          <w:rFonts w:asciiTheme="minorHAnsi" w:hAnsiTheme="minorHAnsi"/>
          <w:color w:val="000000"/>
        </w:rPr>
        <w:t>The customer pays for any u</w:t>
      </w:r>
      <w:r w:rsidR="00BA0E28" w:rsidRPr="00D86D5C">
        <w:rPr>
          <w:rFonts w:asciiTheme="minorHAnsi" w:hAnsiTheme="minorHAnsi"/>
          <w:color w:val="000000"/>
        </w:rPr>
        <w:t>pgrades or mitigations identified</w:t>
      </w:r>
    </w:p>
    <w:p w14:paraId="681C2E12" w14:textId="1C3C27FF" w:rsidR="000A0226" w:rsidRDefault="000A0226" w:rsidP="000A0226">
      <w:pPr>
        <w:pStyle w:val="ListParagraph"/>
        <w:numPr>
          <w:ilvl w:val="0"/>
          <w:numId w:val="43"/>
        </w:numPr>
        <w:rPr>
          <w:rFonts w:asciiTheme="minorHAnsi" w:hAnsiTheme="minorHAnsi"/>
          <w:color w:val="000000"/>
        </w:rPr>
      </w:pPr>
      <w:r w:rsidRPr="00A26CAD">
        <w:rPr>
          <w:rFonts w:asciiTheme="minorHAnsi" w:hAnsiTheme="minorHAnsi"/>
          <w:b/>
          <w:color w:val="000000"/>
        </w:rPr>
        <w:t>Size reduction</w:t>
      </w:r>
      <w:r>
        <w:rPr>
          <w:rFonts w:asciiTheme="minorHAnsi" w:hAnsiTheme="minorHAnsi"/>
          <w:b/>
          <w:color w:val="000000"/>
        </w:rPr>
        <w:t>s</w:t>
      </w:r>
      <w:r>
        <w:rPr>
          <w:rFonts w:asciiTheme="minorHAnsi" w:hAnsiTheme="minorHAnsi"/>
          <w:color w:val="000000"/>
        </w:rPr>
        <w:t xml:space="preserve"> </w:t>
      </w:r>
      <w:r w:rsidRPr="00CB5F1D">
        <w:rPr>
          <w:rFonts w:asciiTheme="minorHAnsi" w:hAnsiTheme="minorHAnsi"/>
          <w:b/>
          <w:color w:val="000000"/>
        </w:rPr>
        <w:t xml:space="preserve">to avoid upgrades </w:t>
      </w:r>
      <w:r>
        <w:rPr>
          <w:rFonts w:asciiTheme="minorHAnsi" w:hAnsiTheme="minorHAnsi"/>
          <w:color w:val="000000"/>
        </w:rPr>
        <w:t>that meet the following criteria:</w:t>
      </w:r>
    </w:p>
    <w:p w14:paraId="1C204E38" w14:textId="4AD7261F" w:rsidR="000A0226" w:rsidRDefault="000A0226" w:rsidP="000A0226">
      <w:pPr>
        <w:pStyle w:val="ListParagraph"/>
        <w:numPr>
          <w:ilvl w:val="1"/>
          <w:numId w:val="43"/>
        </w:numPr>
        <w:rPr>
          <w:rFonts w:asciiTheme="minorHAnsi" w:hAnsiTheme="minorHAnsi"/>
          <w:color w:val="000000"/>
        </w:rPr>
      </w:pPr>
      <w:r>
        <w:rPr>
          <w:rFonts w:asciiTheme="minorHAnsi" w:hAnsiTheme="minorHAnsi"/>
          <w:color w:val="000000"/>
        </w:rPr>
        <w:t>The size reduction does not exceed 20%</w:t>
      </w:r>
    </w:p>
    <w:p w14:paraId="4056AD5C" w14:textId="25ABBCFA" w:rsidR="006F71BA" w:rsidRDefault="000A0226" w:rsidP="00CB5F1D">
      <w:pPr>
        <w:pStyle w:val="ListParagraph"/>
        <w:numPr>
          <w:ilvl w:val="1"/>
          <w:numId w:val="43"/>
        </w:numPr>
        <w:rPr>
          <w:rFonts w:asciiTheme="minorHAnsi" w:hAnsiTheme="minorHAnsi"/>
          <w:color w:val="000000"/>
        </w:rPr>
      </w:pPr>
      <w:r w:rsidRPr="00CB5F1D">
        <w:rPr>
          <w:rFonts w:asciiTheme="minorHAnsi" w:hAnsiTheme="minorHAnsi"/>
          <w:color w:val="000000"/>
        </w:rPr>
        <w:t xml:space="preserve">The customer pays </w:t>
      </w:r>
      <w:r w:rsidR="005E0932" w:rsidRPr="00A26CAD">
        <w:rPr>
          <w:rFonts w:asciiTheme="minorHAnsi" w:hAnsiTheme="minorHAnsi"/>
          <w:color w:val="000000"/>
        </w:rPr>
        <w:t xml:space="preserve">a $300 fee </w:t>
      </w:r>
      <w:r w:rsidR="005E0932">
        <w:rPr>
          <w:rFonts w:asciiTheme="minorHAnsi" w:hAnsiTheme="minorHAnsi"/>
          <w:color w:val="000000"/>
        </w:rPr>
        <w:t xml:space="preserve">for the utility </w:t>
      </w:r>
      <w:r w:rsidR="005E0932" w:rsidRPr="00A26CAD">
        <w:rPr>
          <w:rFonts w:asciiTheme="minorHAnsi" w:hAnsiTheme="minorHAnsi"/>
          <w:color w:val="000000"/>
        </w:rPr>
        <w:t>to conduct a re-study to validate that no other DERs shall be impacted due to this modification request.</w:t>
      </w:r>
    </w:p>
    <w:p w14:paraId="1104C9B7" w14:textId="4358B833" w:rsidR="005E0932" w:rsidRDefault="005E0932" w:rsidP="00CB5F1D">
      <w:pPr>
        <w:pStyle w:val="ListParagraph"/>
        <w:numPr>
          <w:ilvl w:val="1"/>
          <w:numId w:val="43"/>
        </w:numPr>
        <w:rPr>
          <w:rFonts w:asciiTheme="minorHAnsi" w:hAnsiTheme="minorHAnsi"/>
          <w:color w:val="000000"/>
        </w:rPr>
      </w:pPr>
      <w:r>
        <w:rPr>
          <w:rFonts w:asciiTheme="minorHAnsi" w:hAnsiTheme="minorHAnsi"/>
          <w:color w:val="000000"/>
        </w:rPr>
        <w:t>The re-study finds that no other DERs shall be impacted</w:t>
      </w:r>
    </w:p>
    <w:p w14:paraId="404B72CC" w14:textId="77777777" w:rsidR="00BA0E28" w:rsidRPr="00F91788" w:rsidRDefault="00BA0E28" w:rsidP="00BA0E28">
      <w:pPr>
        <w:rPr>
          <w:rFonts w:asciiTheme="minorHAnsi" w:hAnsiTheme="minorHAnsi"/>
          <w:color w:val="000000"/>
        </w:rPr>
      </w:pPr>
    </w:p>
    <w:p w14:paraId="499F54BB" w14:textId="34A9BF2F" w:rsidR="00BA0E28" w:rsidRDefault="00C118A6" w:rsidP="00BA0E28">
      <w:pPr>
        <w:rPr>
          <w:rFonts w:asciiTheme="minorHAnsi" w:hAnsiTheme="minorHAnsi"/>
          <w:color w:val="000000"/>
        </w:rPr>
      </w:pPr>
      <w:r w:rsidRPr="00F91788">
        <w:rPr>
          <w:rFonts w:asciiTheme="minorHAnsi" w:hAnsiTheme="minorHAnsi"/>
          <w:color w:val="000000"/>
        </w:rPr>
        <w:t xml:space="preserve">The </w:t>
      </w:r>
      <w:r w:rsidR="005E0932">
        <w:rPr>
          <w:rFonts w:asciiTheme="minorHAnsi" w:hAnsiTheme="minorHAnsi"/>
          <w:color w:val="000000"/>
        </w:rPr>
        <w:t>working group</w:t>
      </w:r>
      <w:r w:rsidR="005E0932" w:rsidRPr="00F91788">
        <w:rPr>
          <w:rFonts w:asciiTheme="minorHAnsi" w:hAnsiTheme="minorHAnsi"/>
          <w:color w:val="000000"/>
        </w:rPr>
        <w:t xml:space="preserve"> </w:t>
      </w:r>
      <w:r w:rsidRPr="00F91788">
        <w:rPr>
          <w:rFonts w:asciiTheme="minorHAnsi" w:hAnsiTheme="minorHAnsi"/>
          <w:color w:val="000000"/>
        </w:rPr>
        <w:t xml:space="preserve">also </w:t>
      </w:r>
      <w:r w:rsidR="005E0932">
        <w:rPr>
          <w:rFonts w:asciiTheme="minorHAnsi" w:hAnsiTheme="minorHAnsi"/>
          <w:color w:val="000000"/>
        </w:rPr>
        <w:t xml:space="preserve">recommends the Commission implement </w:t>
      </w:r>
      <w:r w:rsidRPr="00F91788">
        <w:rPr>
          <w:rFonts w:asciiTheme="minorHAnsi" w:hAnsiTheme="minorHAnsi"/>
          <w:color w:val="000000"/>
        </w:rPr>
        <w:t>the following as it relates to these modification types:</w:t>
      </w:r>
    </w:p>
    <w:p w14:paraId="2E24A713" w14:textId="77777777" w:rsidR="00F91788" w:rsidRPr="00D86D5C" w:rsidRDefault="00F91788" w:rsidP="00BA0E28">
      <w:pPr>
        <w:rPr>
          <w:rFonts w:asciiTheme="minorHAnsi" w:hAnsiTheme="minorHAnsi"/>
          <w:color w:val="000000"/>
        </w:rPr>
      </w:pPr>
    </w:p>
    <w:p w14:paraId="50D6AC30" w14:textId="3689B26D" w:rsidR="00C118A6" w:rsidRPr="00D86D5C" w:rsidRDefault="00C118A6" w:rsidP="00C118A6">
      <w:pPr>
        <w:pStyle w:val="ListParagraph"/>
        <w:numPr>
          <w:ilvl w:val="0"/>
          <w:numId w:val="44"/>
        </w:numPr>
        <w:rPr>
          <w:rFonts w:asciiTheme="minorHAnsi" w:hAnsiTheme="minorHAnsi"/>
          <w:color w:val="000000"/>
        </w:rPr>
      </w:pPr>
      <w:r w:rsidRPr="00F91788">
        <w:rPr>
          <w:rFonts w:asciiTheme="minorHAnsi" w:hAnsiTheme="minorHAnsi"/>
          <w:b/>
          <w:color w:val="000000"/>
        </w:rPr>
        <w:t>Number of modifications</w:t>
      </w:r>
      <w:r w:rsidRPr="00F91788">
        <w:rPr>
          <w:rFonts w:asciiTheme="minorHAnsi" w:hAnsiTheme="minorHAnsi"/>
          <w:color w:val="000000"/>
        </w:rPr>
        <w:t xml:space="preserve">: </w:t>
      </w:r>
      <w:r w:rsidR="00F91788">
        <w:rPr>
          <w:rFonts w:asciiTheme="minorHAnsi" w:hAnsiTheme="minorHAnsi"/>
          <w:color w:val="000000"/>
        </w:rPr>
        <w:t>One</w:t>
      </w:r>
      <w:r w:rsidRPr="00F91788">
        <w:rPr>
          <w:rFonts w:asciiTheme="minorHAnsi" w:hAnsiTheme="minorHAnsi"/>
          <w:color w:val="000000"/>
        </w:rPr>
        <w:t xml:space="preserve"> opportunity to make a modification total for a given interconnection request</w:t>
      </w:r>
      <w:r w:rsidR="00F91788">
        <w:rPr>
          <w:rFonts w:asciiTheme="minorHAnsi" w:hAnsiTheme="minorHAnsi"/>
          <w:color w:val="000000"/>
        </w:rPr>
        <w:t>,</w:t>
      </w:r>
      <w:r w:rsidRPr="00D86D5C">
        <w:rPr>
          <w:rFonts w:asciiTheme="minorHAnsi" w:hAnsiTheme="minorHAnsi"/>
          <w:color w:val="000000"/>
        </w:rPr>
        <w:t xml:space="preserve"> </w:t>
      </w:r>
      <w:ins w:id="6" w:author="Brad Heavner" w:date="2018-02-01T08:36:00Z">
        <w:r w:rsidR="00731204">
          <w:rPr>
            <w:rFonts w:asciiTheme="minorHAnsi" w:hAnsiTheme="minorHAnsi"/>
            <w:color w:val="000000"/>
          </w:rPr>
          <w:t>unless</w:t>
        </w:r>
        <w:r w:rsidR="00731204">
          <w:rPr>
            <w:rFonts w:asciiTheme="minorHAnsi" w:hAnsiTheme="minorHAnsi"/>
            <w:color w:val="000000"/>
          </w:rPr>
          <w:t xml:space="preserve"> </w:t>
        </w:r>
        <w:proofErr w:type="gramStart"/>
        <w:r w:rsidR="00731204">
          <w:rPr>
            <w:rFonts w:asciiTheme="minorHAnsi" w:hAnsiTheme="minorHAnsi"/>
            <w:color w:val="000000"/>
          </w:rPr>
          <w:t>further</w:t>
        </w:r>
        <w:r w:rsidR="00731204">
          <w:rPr>
            <w:rFonts w:asciiTheme="minorHAnsi" w:hAnsiTheme="minorHAnsi"/>
            <w:color w:val="000000"/>
          </w:rPr>
          <w:t xml:space="preserve"> changes are agreed to by Distribution Provider</w:t>
        </w:r>
        <w:proofErr w:type="gramEnd"/>
        <w:r w:rsidR="00731204">
          <w:rPr>
            <w:rFonts w:asciiTheme="minorHAnsi" w:hAnsiTheme="minorHAnsi"/>
            <w:color w:val="000000"/>
          </w:rPr>
          <w:t>.</w:t>
        </w:r>
        <w:r w:rsidR="00731204" w:rsidRPr="00A26CAD">
          <w:rPr>
            <w:rFonts w:asciiTheme="minorHAnsi" w:hAnsiTheme="minorHAnsi"/>
            <w:color w:val="000000"/>
          </w:rPr>
          <w:t xml:space="preserve"> </w:t>
        </w:r>
      </w:ins>
      <w:del w:id="7" w:author="Brad Heavner" w:date="2018-02-01T08:36:00Z">
        <w:r w:rsidRPr="00D86D5C" w:rsidDel="00731204">
          <w:rPr>
            <w:rFonts w:asciiTheme="minorHAnsi" w:hAnsiTheme="minorHAnsi"/>
            <w:color w:val="000000"/>
          </w:rPr>
          <w:delText>however t</w:delText>
        </w:r>
      </w:del>
      <w:ins w:id="8" w:author="Brad Heavner" w:date="2018-02-01T08:36:00Z">
        <w:r w:rsidR="00731204">
          <w:rPr>
            <w:rFonts w:asciiTheme="minorHAnsi" w:hAnsiTheme="minorHAnsi"/>
            <w:color w:val="000000"/>
          </w:rPr>
          <w:t>A</w:t>
        </w:r>
      </w:ins>
      <w:bookmarkStart w:id="9" w:name="_GoBack"/>
      <w:bookmarkEnd w:id="9"/>
      <w:del w:id="10" w:author="Brad Heavner" w:date="2018-02-01T08:37:00Z">
        <w:r w:rsidRPr="00D86D5C" w:rsidDel="00731204">
          <w:rPr>
            <w:rFonts w:asciiTheme="minorHAnsi" w:hAnsiTheme="minorHAnsi"/>
            <w:color w:val="000000"/>
          </w:rPr>
          <w:delText>hat</w:delText>
        </w:r>
      </w:del>
      <w:r w:rsidRPr="00D86D5C">
        <w:rPr>
          <w:rFonts w:asciiTheme="minorHAnsi" w:hAnsiTheme="minorHAnsi"/>
          <w:color w:val="000000"/>
        </w:rPr>
        <w:t xml:space="preserve"> modification request can incorporate more than one modification type</w:t>
      </w:r>
      <w:r w:rsidR="00F91788">
        <w:rPr>
          <w:rFonts w:asciiTheme="minorHAnsi" w:hAnsiTheme="minorHAnsi"/>
          <w:color w:val="000000"/>
        </w:rPr>
        <w:t>.</w:t>
      </w:r>
    </w:p>
    <w:p w14:paraId="77EE659F" w14:textId="7D5D6ED2" w:rsidR="00C118A6" w:rsidRPr="00F91788" w:rsidRDefault="00C118A6" w:rsidP="00C118A6">
      <w:pPr>
        <w:pStyle w:val="ListParagraph"/>
        <w:numPr>
          <w:ilvl w:val="0"/>
          <w:numId w:val="44"/>
        </w:numPr>
        <w:rPr>
          <w:rFonts w:asciiTheme="minorHAnsi" w:hAnsiTheme="minorHAnsi"/>
          <w:color w:val="000000"/>
        </w:rPr>
      </w:pPr>
      <w:r w:rsidRPr="00D86D5C">
        <w:rPr>
          <w:rFonts w:asciiTheme="minorHAnsi" w:hAnsiTheme="minorHAnsi"/>
          <w:b/>
          <w:color w:val="000000"/>
        </w:rPr>
        <w:t>Fee for modification</w:t>
      </w:r>
      <w:r w:rsidRPr="00F91788">
        <w:rPr>
          <w:rFonts w:asciiTheme="minorHAnsi" w:hAnsiTheme="minorHAnsi"/>
          <w:color w:val="000000"/>
        </w:rPr>
        <w:t>: No additional fee required for most modification types except Size</w:t>
      </w:r>
      <w:r w:rsidR="000A0226">
        <w:rPr>
          <w:rFonts w:asciiTheme="minorHAnsi" w:hAnsiTheme="minorHAnsi"/>
          <w:color w:val="000000"/>
        </w:rPr>
        <w:t xml:space="preserve"> </w:t>
      </w:r>
      <w:r w:rsidRPr="00F91788">
        <w:rPr>
          <w:rFonts w:asciiTheme="minorHAnsi" w:hAnsiTheme="minorHAnsi"/>
          <w:color w:val="000000"/>
        </w:rPr>
        <w:t xml:space="preserve">Reduction to Avoid Upgrades.  </w:t>
      </w:r>
      <w:r w:rsidR="00F54375" w:rsidRPr="00F91788">
        <w:rPr>
          <w:rFonts w:asciiTheme="minorHAnsi" w:hAnsiTheme="minorHAnsi"/>
          <w:color w:val="000000"/>
        </w:rPr>
        <w:t>This type of request requires a</w:t>
      </w:r>
      <w:r w:rsidRPr="00F91788">
        <w:rPr>
          <w:rFonts w:asciiTheme="minorHAnsi" w:hAnsiTheme="minorHAnsi"/>
          <w:color w:val="000000"/>
        </w:rPr>
        <w:t xml:space="preserve"> $300 fee to conduct a re-study to validate that no other DERs shall be impacted due to this modification request.</w:t>
      </w:r>
    </w:p>
    <w:p w14:paraId="28FC1EFD" w14:textId="18AD0915" w:rsidR="00C118A6" w:rsidRPr="00F91788" w:rsidRDefault="00C118A6" w:rsidP="00C118A6">
      <w:pPr>
        <w:pStyle w:val="ListParagraph"/>
        <w:numPr>
          <w:ilvl w:val="0"/>
          <w:numId w:val="44"/>
        </w:numPr>
        <w:rPr>
          <w:rFonts w:asciiTheme="minorHAnsi" w:hAnsiTheme="minorHAnsi"/>
          <w:color w:val="000000"/>
        </w:rPr>
      </w:pPr>
      <w:r w:rsidRPr="00F91788">
        <w:rPr>
          <w:rFonts w:asciiTheme="minorHAnsi" w:hAnsiTheme="minorHAnsi"/>
          <w:b/>
          <w:color w:val="000000"/>
        </w:rPr>
        <w:t>Processing Time</w:t>
      </w:r>
      <w:r w:rsidRPr="00F91788">
        <w:rPr>
          <w:rFonts w:asciiTheme="minorHAnsi" w:hAnsiTheme="minorHAnsi"/>
          <w:color w:val="000000"/>
        </w:rPr>
        <w:t xml:space="preserve">: </w:t>
      </w:r>
      <w:r w:rsidR="00B55E37" w:rsidRPr="00F91788">
        <w:rPr>
          <w:rFonts w:asciiTheme="minorHAnsi" w:hAnsiTheme="minorHAnsi"/>
          <w:color w:val="000000"/>
        </w:rPr>
        <w:t xml:space="preserve">10 </w:t>
      </w:r>
      <w:r w:rsidRPr="00F91788">
        <w:rPr>
          <w:rFonts w:asciiTheme="minorHAnsi" w:hAnsiTheme="minorHAnsi"/>
          <w:color w:val="000000"/>
        </w:rPr>
        <w:t xml:space="preserve">BD for processing time and </w:t>
      </w:r>
      <w:r w:rsidR="00B55E37" w:rsidRPr="00F91788">
        <w:rPr>
          <w:rFonts w:asciiTheme="minorHAnsi" w:hAnsiTheme="minorHAnsi"/>
          <w:color w:val="000000"/>
        </w:rPr>
        <w:t xml:space="preserve">20 BD for engineering time.  Timelines were mirrored on existing timelines for modification requests under the </w:t>
      </w:r>
      <w:commentRangeStart w:id="11"/>
      <w:r w:rsidR="00B55E37" w:rsidRPr="00F91788">
        <w:rPr>
          <w:rFonts w:asciiTheme="minorHAnsi" w:hAnsiTheme="minorHAnsi"/>
          <w:color w:val="000000"/>
        </w:rPr>
        <w:t xml:space="preserve">Cost Envelope option.  </w:t>
      </w:r>
      <w:commentRangeEnd w:id="11"/>
      <w:r w:rsidR="00FD0163">
        <w:rPr>
          <w:rStyle w:val="CommentReference"/>
        </w:rPr>
        <w:commentReference w:id="11"/>
      </w:r>
      <w:r w:rsidR="00B55E37" w:rsidRPr="00F91788">
        <w:rPr>
          <w:rFonts w:asciiTheme="minorHAnsi" w:hAnsiTheme="minorHAnsi"/>
          <w:color w:val="000000"/>
        </w:rPr>
        <w:t>See Appendix G for tariff language.</w:t>
      </w:r>
    </w:p>
    <w:p w14:paraId="578759BB" w14:textId="625936FB" w:rsidR="00BA0E28" w:rsidRPr="00F91788" w:rsidRDefault="00B55E37" w:rsidP="00BA0E28">
      <w:pPr>
        <w:pStyle w:val="ListParagraph"/>
        <w:numPr>
          <w:ilvl w:val="0"/>
          <w:numId w:val="44"/>
        </w:numPr>
        <w:rPr>
          <w:rFonts w:asciiTheme="minorHAnsi" w:hAnsiTheme="minorHAnsi"/>
          <w:color w:val="000000"/>
        </w:rPr>
      </w:pPr>
      <w:r w:rsidRPr="00F91788">
        <w:rPr>
          <w:rFonts w:asciiTheme="minorHAnsi" w:hAnsiTheme="minorHAnsi"/>
          <w:b/>
          <w:color w:val="000000"/>
        </w:rPr>
        <w:t>Cost Responsibility</w:t>
      </w:r>
      <w:r w:rsidRPr="00F91788">
        <w:rPr>
          <w:rFonts w:asciiTheme="minorHAnsi" w:hAnsiTheme="minorHAnsi"/>
          <w:color w:val="000000"/>
        </w:rPr>
        <w:t>: If a project downsizes and the revised size has a different cost responsibility than the original, the cost responsibility of the interconnection request does not adjust and remains based on the original interconnection request.</w:t>
      </w:r>
    </w:p>
    <w:p w14:paraId="6E2985F6" w14:textId="20CD2D3A" w:rsidR="006871FB" w:rsidRDefault="006871FB" w:rsidP="00BA0E28">
      <w:pPr>
        <w:pStyle w:val="ListParagraph"/>
        <w:numPr>
          <w:ilvl w:val="0"/>
          <w:numId w:val="44"/>
        </w:numPr>
        <w:rPr>
          <w:rFonts w:asciiTheme="minorHAnsi" w:hAnsiTheme="minorHAnsi"/>
          <w:color w:val="000000"/>
        </w:rPr>
      </w:pPr>
      <w:r w:rsidRPr="00F91788">
        <w:rPr>
          <w:rFonts w:asciiTheme="minorHAnsi" w:hAnsiTheme="minorHAnsi"/>
          <w:b/>
          <w:color w:val="000000"/>
        </w:rPr>
        <w:t xml:space="preserve">Other Modifications: </w:t>
      </w:r>
      <w:r w:rsidRPr="00F91788">
        <w:rPr>
          <w:rFonts w:asciiTheme="minorHAnsi" w:hAnsiTheme="minorHAnsi"/>
          <w:color w:val="000000"/>
        </w:rPr>
        <w:t>The IOUs propose that additional changes outside of the modification types identified here shall not be accepted within Fast Track.  The Interconnection Customer will be required to withdraw and reapply to make such modifications.</w:t>
      </w:r>
      <w:r w:rsidR="005E0932">
        <w:rPr>
          <w:rFonts w:asciiTheme="minorHAnsi" w:hAnsiTheme="minorHAnsi"/>
          <w:color w:val="000000"/>
        </w:rPr>
        <w:t xml:space="preserve"> These include:</w:t>
      </w:r>
    </w:p>
    <w:p w14:paraId="24A7102F" w14:textId="77777777" w:rsidR="005E0932" w:rsidRPr="00A26CAD" w:rsidRDefault="005E0932" w:rsidP="00CB5F1D">
      <w:pPr>
        <w:pStyle w:val="ListParagraph"/>
        <w:numPr>
          <w:ilvl w:val="1"/>
          <w:numId w:val="44"/>
        </w:numPr>
        <w:rPr>
          <w:rFonts w:asciiTheme="minorHAnsi" w:hAnsiTheme="minorHAnsi"/>
          <w:color w:val="000000"/>
        </w:rPr>
      </w:pPr>
      <w:r>
        <w:rPr>
          <w:rFonts w:asciiTheme="minorHAnsi" w:hAnsiTheme="minorHAnsi"/>
          <w:color w:val="000000"/>
        </w:rPr>
        <w:t>Size</w:t>
      </w:r>
      <w:r w:rsidRPr="00A26CAD">
        <w:rPr>
          <w:rFonts w:asciiTheme="minorHAnsi" w:hAnsiTheme="minorHAnsi"/>
          <w:color w:val="000000"/>
        </w:rPr>
        <w:t xml:space="preserve"> reductions greater than 20%</w:t>
      </w:r>
    </w:p>
    <w:p w14:paraId="3824AA93" w14:textId="0362007D" w:rsidR="005E0932" w:rsidRPr="00A26CAD" w:rsidRDefault="005E0932" w:rsidP="00CB5F1D">
      <w:pPr>
        <w:pStyle w:val="ListParagraph"/>
        <w:numPr>
          <w:ilvl w:val="1"/>
          <w:numId w:val="44"/>
        </w:numPr>
        <w:rPr>
          <w:rFonts w:asciiTheme="minorHAnsi" w:hAnsiTheme="minorHAnsi"/>
          <w:color w:val="000000"/>
        </w:rPr>
      </w:pPr>
      <w:r w:rsidRPr="00D86D5C">
        <w:rPr>
          <w:rFonts w:asciiTheme="minorHAnsi" w:hAnsiTheme="minorHAnsi"/>
          <w:color w:val="000000"/>
        </w:rPr>
        <w:t>Size</w:t>
      </w:r>
      <w:r w:rsidRPr="00A26CAD">
        <w:rPr>
          <w:rFonts w:asciiTheme="minorHAnsi" w:hAnsiTheme="minorHAnsi"/>
          <w:color w:val="000000"/>
        </w:rPr>
        <w:t xml:space="preserve"> </w:t>
      </w:r>
      <w:r>
        <w:rPr>
          <w:rFonts w:asciiTheme="minorHAnsi" w:hAnsiTheme="minorHAnsi"/>
          <w:color w:val="000000"/>
        </w:rPr>
        <w:t>i</w:t>
      </w:r>
      <w:r w:rsidRPr="00A26CAD">
        <w:rPr>
          <w:rFonts w:asciiTheme="minorHAnsi" w:hAnsiTheme="minorHAnsi"/>
          <w:color w:val="000000"/>
        </w:rPr>
        <w:t>ncrease</w:t>
      </w:r>
      <w:r>
        <w:rPr>
          <w:rFonts w:asciiTheme="minorHAnsi" w:hAnsiTheme="minorHAnsi"/>
          <w:color w:val="000000"/>
        </w:rPr>
        <w:t>s</w:t>
      </w:r>
      <w:r w:rsidRPr="00A26CAD">
        <w:rPr>
          <w:rStyle w:val="FootnoteReference"/>
          <w:rFonts w:asciiTheme="minorHAnsi" w:hAnsiTheme="minorHAnsi"/>
          <w:color w:val="000000"/>
        </w:rPr>
        <w:footnoteReference w:id="5"/>
      </w:r>
    </w:p>
    <w:p w14:paraId="71B09886" w14:textId="3F1E6548" w:rsidR="005E0932" w:rsidRPr="00A26CAD" w:rsidRDefault="005E0932" w:rsidP="00CB5F1D">
      <w:pPr>
        <w:pStyle w:val="ListParagraph"/>
        <w:numPr>
          <w:ilvl w:val="1"/>
          <w:numId w:val="44"/>
        </w:numPr>
        <w:rPr>
          <w:rFonts w:asciiTheme="minorHAnsi" w:hAnsiTheme="minorHAnsi"/>
          <w:color w:val="000000"/>
        </w:rPr>
      </w:pPr>
      <w:r w:rsidRPr="00A26CAD">
        <w:rPr>
          <w:rFonts w:asciiTheme="minorHAnsi" w:hAnsiTheme="minorHAnsi"/>
          <w:color w:val="000000"/>
        </w:rPr>
        <w:lastRenderedPageBreak/>
        <w:t>P</w:t>
      </w:r>
      <w:r>
        <w:rPr>
          <w:rFonts w:asciiTheme="minorHAnsi" w:hAnsiTheme="minorHAnsi"/>
          <w:color w:val="000000"/>
        </w:rPr>
        <w:t>oint of Interconnection c</w:t>
      </w:r>
      <w:r w:rsidRPr="00A26CAD">
        <w:rPr>
          <w:rFonts w:asciiTheme="minorHAnsi" w:hAnsiTheme="minorHAnsi"/>
          <w:color w:val="000000"/>
        </w:rPr>
        <w:t>hange</w:t>
      </w:r>
      <w:r>
        <w:rPr>
          <w:rFonts w:asciiTheme="minorHAnsi" w:hAnsiTheme="minorHAnsi"/>
          <w:color w:val="000000"/>
        </w:rPr>
        <w:t>s</w:t>
      </w:r>
      <w:ins w:id="14" w:author="Brad Heavner" w:date="2018-02-01T06:14:00Z">
        <w:r w:rsidR="00C41B93">
          <w:rPr>
            <w:rFonts w:asciiTheme="minorHAnsi" w:hAnsiTheme="minorHAnsi"/>
            <w:color w:val="000000"/>
          </w:rPr>
          <w:t>, unless changes are agreed to by Distribution Provider</w:t>
        </w:r>
      </w:ins>
      <w:r w:rsidRPr="00A26CAD">
        <w:rPr>
          <w:rFonts w:asciiTheme="minorHAnsi" w:hAnsiTheme="minorHAnsi"/>
          <w:color w:val="000000"/>
        </w:rPr>
        <w:t xml:space="preserve"> (minor changes such as location of meter can be managed in the design/construction phase of the project)  </w:t>
      </w:r>
    </w:p>
    <w:p w14:paraId="1ED845B1" w14:textId="200B90FB" w:rsidR="005E0932" w:rsidRPr="00A26CAD" w:rsidDel="00A16802" w:rsidRDefault="005E0932" w:rsidP="00CB5F1D">
      <w:pPr>
        <w:pStyle w:val="ListParagraph"/>
        <w:numPr>
          <w:ilvl w:val="1"/>
          <w:numId w:val="44"/>
        </w:numPr>
        <w:rPr>
          <w:del w:id="15" w:author="Brad Heavner" w:date="2018-02-01T06:06:00Z"/>
          <w:rFonts w:asciiTheme="minorHAnsi" w:hAnsiTheme="minorHAnsi"/>
          <w:color w:val="000000"/>
        </w:rPr>
      </w:pPr>
      <w:del w:id="16" w:author="Brad Heavner" w:date="2018-02-01T06:06:00Z">
        <w:r w:rsidRPr="00A26CAD" w:rsidDel="00A16802">
          <w:rPr>
            <w:rFonts w:asciiTheme="minorHAnsi" w:hAnsiTheme="minorHAnsi"/>
            <w:color w:val="000000"/>
          </w:rPr>
          <w:delText xml:space="preserve">Changing </w:delText>
        </w:r>
        <w:r w:rsidDel="00A16802">
          <w:rPr>
            <w:rFonts w:asciiTheme="minorHAnsi" w:hAnsiTheme="minorHAnsi"/>
            <w:color w:val="000000"/>
          </w:rPr>
          <w:delText>o</w:delText>
        </w:r>
        <w:r w:rsidRPr="00A26CAD" w:rsidDel="00A16802">
          <w:rPr>
            <w:rFonts w:asciiTheme="minorHAnsi" w:hAnsiTheme="minorHAnsi"/>
            <w:color w:val="000000"/>
          </w:rPr>
          <w:delText xml:space="preserve">perational </w:delText>
        </w:r>
        <w:r w:rsidDel="00A16802">
          <w:rPr>
            <w:rFonts w:asciiTheme="minorHAnsi" w:hAnsiTheme="minorHAnsi"/>
            <w:color w:val="000000"/>
          </w:rPr>
          <w:delText>p</w:delText>
        </w:r>
        <w:r w:rsidRPr="00A26CAD" w:rsidDel="00A16802">
          <w:rPr>
            <w:rFonts w:asciiTheme="minorHAnsi" w:hAnsiTheme="minorHAnsi"/>
            <w:color w:val="000000"/>
          </w:rPr>
          <w:delText xml:space="preserve">rofile of </w:delText>
        </w:r>
        <w:r w:rsidDel="00A16802">
          <w:rPr>
            <w:rFonts w:asciiTheme="minorHAnsi" w:hAnsiTheme="minorHAnsi"/>
            <w:color w:val="000000"/>
          </w:rPr>
          <w:delText>e</w:delText>
        </w:r>
        <w:r w:rsidRPr="00A26CAD" w:rsidDel="00A16802">
          <w:rPr>
            <w:rFonts w:asciiTheme="minorHAnsi" w:hAnsiTheme="minorHAnsi"/>
            <w:color w:val="000000"/>
          </w:rPr>
          <w:delText xml:space="preserve">nergy </w:delText>
        </w:r>
        <w:r w:rsidDel="00A16802">
          <w:rPr>
            <w:rFonts w:asciiTheme="minorHAnsi" w:hAnsiTheme="minorHAnsi"/>
            <w:color w:val="000000"/>
          </w:rPr>
          <w:delText>s</w:delText>
        </w:r>
        <w:r w:rsidRPr="00A26CAD" w:rsidDel="00A16802">
          <w:rPr>
            <w:rFonts w:asciiTheme="minorHAnsi" w:hAnsiTheme="minorHAnsi"/>
            <w:color w:val="000000"/>
          </w:rPr>
          <w:delText>torage – to be reviewed in later working group</w:delText>
        </w:r>
      </w:del>
    </w:p>
    <w:p w14:paraId="17CBBBBB" w14:textId="6DDEFAFC" w:rsidR="005E0932" w:rsidRPr="005E0932" w:rsidRDefault="005E0932" w:rsidP="00CB5F1D">
      <w:pPr>
        <w:pStyle w:val="ListParagraph"/>
        <w:numPr>
          <w:ilvl w:val="1"/>
          <w:numId w:val="44"/>
        </w:numPr>
        <w:rPr>
          <w:rFonts w:asciiTheme="minorHAnsi" w:hAnsiTheme="minorHAnsi"/>
          <w:color w:val="000000"/>
        </w:rPr>
      </w:pPr>
      <w:r w:rsidRPr="00A26CAD">
        <w:rPr>
          <w:rFonts w:asciiTheme="minorHAnsi" w:hAnsiTheme="minorHAnsi"/>
          <w:color w:val="000000"/>
        </w:rPr>
        <w:t xml:space="preserve">Adding </w:t>
      </w:r>
      <w:r>
        <w:rPr>
          <w:rFonts w:asciiTheme="minorHAnsi" w:hAnsiTheme="minorHAnsi"/>
          <w:color w:val="000000"/>
        </w:rPr>
        <w:t>s</w:t>
      </w:r>
      <w:r w:rsidRPr="00A26CAD">
        <w:rPr>
          <w:rFonts w:asciiTheme="minorHAnsi" w:hAnsiTheme="minorHAnsi"/>
          <w:color w:val="000000"/>
        </w:rPr>
        <w:t xml:space="preserve">torage to an existing interconnection request or existing interconnected facility </w:t>
      </w:r>
      <w:r>
        <w:rPr>
          <w:rFonts w:asciiTheme="minorHAnsi" w:hAnsiTheme="minorHAnsi"/>
          <w:color w:val="000000"/>
        </w:rPr>
        <w:t>[</w:t>
      </w:r>
      <w:r w:rsidRPr="00A26CAD">
        <w:rPr>
          <w:rFonts w:asciiTheme="minorHAnsi" w:hAnsiTheme="minorHAnsi"/>
          <w:color w:val="000000"/>
        </w:rPr>
        <w:t>to be discussed further in the retrofits portion of the working group</w:t>
      </w:r>
      <w:r>
        <w:rPr>
          <w:rFonts w:asciiTheme="minorHAnsi" w:hAnsiTheme="minorHAnsi"/>
          <w:color w:val="000000"/>
        </w:rPr>
        <w:t>]</w:t>
      </w:r>
    </w:p>
    <w:p w14:paraId="070DBC13" w14:textId="1667E96A" w:rsidR="00693175" w:rsidRPr="00F91788" w:rsidRDefault="00693175" w:rsidP="00B55E37">
      <w:pPr>
        <w:rPr>
          <w:rFonts w:asciiTheme="minorHAnsi" w:hAnsiTheme="minorHAnsi"/>
          <w:color w:val="000000"/>
        </w:rPr>
      </w:pPr>
    </w:p>
    <w:p w14:paraId="0FA41443" w14:textId="4C4E83B0" w:rsidR="00204E5D" w:rsidRDefault="00204E5D" w:rsidP="00B55E37">
      <w:pPr>
        <w:rPr>
          <w:ins w:id="17" w:author="Brad Heavner" w:date="2018-02-01T06:20:00Z"/>
          <w:rFonts w:asciiTheme="minorHAnsi" w:hAnsiTheme="minorHAnsi"/>
          <w:color w:val="000000"/>
        </w:rPr>
      </w:pPr>
      <w:ins w:id="18" w:author="Brad Heavner" w:date="2018-02-01T06:21:00Z">
        <w:r>
          <w:rPr>
            <w:rFonts w:asciiTheme="minorHAnsi" w:hAnsiTheme="minorHAnsi"/>
            <w:color w:val="000000"/>
          </w:rPr>
          <w:t>The Detailed Study section of Rule 21 already contains some definitions of allowable modifications. The</w:t>
        </w:r>
      </w:ins>
      <w:ins w:id="19" w:author="Brad Heavner" w:date="2018-02-01T06:22:00Z">
        <w:r>
          <w:rPr>
            <w:rFonts w:asciiTheme="minorHAnsi" w:hAnsiTheme="minorHAnsi"/>
            <w:color w:val="000000"/>
          </w:rPr>
          <w:t xml:space="preserve"> only recommendation from the</w:t>
        </w:r>
      </w:ins>
      <w:ins w:id="20" w:author="Brad Heavner" w:date="2018-02-01T06:21:00Z">
        <w:r>
          <w:rPr>
            <w:rFonts w:asciiTheme="minorHAnsi" w:hAnsiTheme="minorHAnsi"/>
            <w:color w:val="000000"/>
          </w:rPr>
          <w:t xml:space="preserve"> Working Group </w:t>
        </w:r>
      </w:ins>
      <w:ins w:id="21" w:author="Brad Heavner" w:date="2018-02-01T06:22:00Z">
        <w:r>
          <w:rPr>
            <w:rFonts w:asciiTheme="minorHAnsi" w:hAnsiTheme="minorHAnsi"/>
            <w:color w:val="000000"/>
          </w:rPr>
          <w:t>on that section is to add</w:t>
        </w:r>
      </w:ins>
      <w:ins w:id="22" w:author="Brad Heavner" w:date="2018-02-01T06:21:00Z">
        <w:r>
          <w:rPr>
            <w:rFonts w:asciiTheme="minorHAnsi" w:hAnsiTheme="minorHAnsi"/>
            <w:color w:val="000000"/>
          </w:rPr>
          <w:t xml:space="preserve"> language clarifying that like-for-like equipment swaps are allowable.</w:t>
        </w:r>
      </w:ins>
    </w:p>
    <w:p w14:paraId="24A9F9BA" w14:textId="77777777" w:rsidR="00204E5D" w:rsidRDefault="00204E5D" w:rsidP="00B55E37">
      <w:pPr>
        <w:rPr>
          <w:ins w:id="23" w:author="Brad Heavner" w:date="2018-02-01T06:20:00Z"/>
          <w:rFonts w:asciiTheme="minorHAnsi" w:hAnsiTheme="minorHAnsi"/>
          <w:color w:val="000000"/>
        </w:rPr>
      </w:pPr>
    </w:p>
    <w:p w14:paraId="1D1EE679" w14:textId="6FAE3765" w:rsidR="00FA0721" w:rsidRPr="00F91788" w:rsidRDefault="006871FB" w:rsidP="00B55E37">
      <w:pPr>
        <w:rPr>
          <w:rFonts w:asciiTheme="minorHAnsi" w:hAnsiTheme="minorHAnsi"/>
          <w:color w:val="000000"/>
        </w:rPr>
      </w:pPr>
      <w:r w:rsidRPr="00F91788">
        <w:rPr>
          <w:rFonts w:asciiTheme="minorHAnsi" w:hAnsiTheme="minorHAnsi"/>
          <w:color w:val="000000"/>
        </w:rPr>
        <w:t xml:space="preserve">As a part of this proposal, Rule 21 tariff language will need to be updated. Tariff language shall be drafted and proposed </w:t>
      </w:r>
      <w:r w:rsidR="00030AC1" w:rsidRPr="00F91788">
        <w:rPr>
          <w:rFonts w:asciiTheme="minorHAnsi" w:hAnsiTheme="minorHAnsi"/>
          <w:color w:val="000000"/>
        </w:rPr>
        <w:t>30</w:t>
      </w:r>
      <w:r w:rsidRPr="00F91788">
        <w:rPr>
          <w:rFonts w:asciiTheme="minorHAnsi" w:hAnsiTheme="minorHAnsi"/>
          <w:color w:val="000000"/>
        </w:rPr>
        <w:t xml:space="preserve"> days after Commission Decision.</w:t>
      </w:r>
      <w:r w:rsidR="00FA0721" w:rsidRPr="00F91788">
        <w:rPr>
          <w:rFonts w:asciiTheme="minorHAnsi" w:hAnsiTheme="minorHAnsi"/>
          <w:color w:val="000000"/>
        </w:rPr>
        <w:t xml:space="preserve"> </w:t>
      </w:r>
    </w:p>
    <w:p w14:paraId="0B7F4EFB" w14:textId="77777777" w:rsidR="00693175" w:rsidRPr="00F91788" w:rsidRDefault="00693175" w:rsidP="00693175">
      <w:pPr>
        <w:rPr>
          <w:rFonts w:asciiTheme="minorHAnsi" w:hAnsiTheme="minorHAnsi"/>
          <w:color w:val="000000"/>
        </w:rPr>
      </w:pPr>
    </w:p>
    <w:p w14:paraId="27818DF8" w14:textId="4B37C3E3" w:rsidR="00693175" w:rsidRPr="00F91788" w:rsidRDefault="00AA2955" w:rsidP="00693175">
      <w:pPr>
        <w:rPr>
          <w:rFonts w:asciiTheme="majorHAnsi" w:hAnsiTheme="majorHAnsi"/>
          <w:b/>
          <w:i/>
          <w:color w:val="000000"/>
        </w:rPr>
      </w:pPr>
      <w:r>
        <w:rPr>
          <w:rFonts w:asciiTheme="majorHAnsi" w:hAnsiTheme="majorHAnsi"/>
          <w:b/>
          <w:i/>
          <w:color w:val="000000"/>
        </w:rPr>
        <w:t xml:space="preserve">[Placeholder for </w:t>
      </w:r>
      <w:r w:rsidR="00693175" w:rsidRPr="00D86D5C">
        <w:rPr>
          <w:rFonts w:asciiTheme="majorHAnsi" w:hAnsiTheme="majorHAnsi"/>
          <w:b/>
          <w:i/>
          <w:color w:val="000000"/>
        </w:rPr>
        <w:t xml:space="preserve">Proposal </w:t>
      </w:r>
      <w:r w:rsidR="00B55E37" w:rsidRPr="00F91788">
        <w:rPr>
          <w:rFonts w:asciiTheme="majorHAnsi" w:hAnsiTheme="majorHAnsi"/>
          <w:b/>
          <w:i/>
          <w:color w:val="000000"/>
        </w:rPr>
        <w:t>2</w:t>
      </w:r>
      <w:r w:rsidR="00693175" w:rsidRPr="00F91788">
        <w:rPr>
          <w:rFonts w:asciiTheme="majorHAnsi" w:hAnsiTheme="majorHAnsi"/>
          <w:b/>
          <w:i/>
          <w:color w:val="000000"/>
        </w:rPr>
        <w:t>: Retrofits to existing interconnected resources</w:t>
      </w:r>
      <w:r w:rsidR="00561ACC">
        <w:rPr>
          <w:rFonts w:asciiTheme="majorHAnsi" w:hAnsiTheme="majorHAnsi"/>
          <w:b/>
          <w:i/>
          <w:color w:val="000000"/>
        </w:rPr>
        <w:t>]</w:t>
      </w:r>
    </w:p>
    <w:p w14:paraId="3030234F" w14:textId="77777777" w:rsidR="00693175" w:rsidRPr="00F91788" w:rsidRDefault="00693175" w:rsidP="00693175">
      <w:pPr>
        <w:rPr>
          <w:rFonts w:asciiTheme="minorHAnsi" w:hAnsiTheme="minorHAnsi"/>
          <w:color w:val="000000"/>
        </w:rPr>
      </w:pPr>
    </w:p>
    <w:p w14:paraId="41C75ABA" w14:textId="317FABF9" w:rsidR="00693175" w:rsidRPr="00F91788" w:rsidRDefault="00693175" w:rsidP="00693175">
      <w:pPr>
        <w:rPr>
          <w:rFonts w:asciiTheme="minorHAnsi" w:hAnsiTheme="minorHAnsi"/>
          <w:color w:val="A6A6A6" w:themeColor="background1" w:themeShade="A6"/>
        </w:rPr>
      </w:pPr>
      <w:r w:rsidRPr="00F91788">
        <w:rPr>
          <w:rFonts w:asciiTheme="minorHAnsi" w:hAnsiTheme="minorHAnsi"/>
          <w:color w:val="000000"/>
          <w:u w:val="single"/>
        </w:rPr>
        <w:t>Status</w:t>
      </w:r>
      <w:r w:rsidRPr="00F91788">
        <w:rPr>
          <w:rFonts w:asciiTheme="minorHAnsi" w:hAnsiTheme="minorHAnsi"/>
          <w:color w:val="000000"/>
        </w:rPr>
        <w:t>: to be discussed further as part of the extension request of Working Group 1.</w:t>
      </w:r>
    </w:p>
    <w:p w14:paraId="17F060EC" w14:textId="77777777" w:rsidR="00693175" w:rsidRPr="00F91788" w:rsidRDefault="00693175" w:rsidP="00693175">
      <w:pPr>
        <w:rPr>
          <w:rFonts w:asciiTheme="minorHAnsi" w:hAnsiTheme="minorHAnsi"/>
          <w:color w:val="000000"/>
        </w:rPr>
      </w:pPr>
    </w:p>
    <w:p w14:paraId="4387E875" w14:textId="77777777" w:rsidR="003D35F7" w:rsidRPr="00F91788" w:rsidRDefault="00693175" w:rsidP="00693175">
      <w:pPr>
        <w:rPr>
          <w:rFonts w:asciiTheme="minorHAnsi" w:hAnsiTheme="minorHAnsi"/>
          <w:color w:val="000000"/>
        </w:rPr>
      </w:pPr>
      <w:r w:rsidRPr="00F91788">
        <w:rPr>
          <w:rFonts w:asciiTheme="minorHAnsi" w:hAnsiTheme="minorHAnsi"/>
          <w:color w:val="000000"/>
          <w:u w:val="single"/>
        </w:rPr>
        <w:t>Discussion</w:t>
      </w:r>
      <w:r w:rsidRPr="00F91788">
        <w:rPr>
          <w:rFonts w:asciiTheme="minorHAnsi" w:hAnsiTheme="minorHAnsi"/>
          <w:color w:val="000000"/>
        </w:rPr>
        <w:t xml:space="preserve">: </w:t>
      </w:r>
    </w:p>
    <w:p w14:paraId="7290080D" w14:textId="3CAE5513" w:rsidR="003D35F7" w:rsidRPr="00F91788" w:rsidRDefault="003D35F7" w:rsidP="00693175">
      <w:pPr>
        <w:rPr>
          <w:rFonts w:asciiTheme="minorHAnsi" w:hAnsiTheme="minorHAnsi"/>
          <w:color w:val="000000"/>
        </w:rPr>
      </w:pPr>
      <w:r w:rsidRPr="00F91788">
        <w:rPr>
          <w:rFonts w:asciiTheme="minorHAnsi" w:hAnsiTheme="minorHAnsi"/>
          <w:color w:val="000000"/>
        </w:rPr>
        <w:t xml:space="preserve">Currently, a new interconnection request is required under the following definition </w:t>
      </w:r>
      <w:r w:rsidR="0048318C" w:rsidRPr="00F91788">
        <w:rPr>
          <w:rFonts w:asciiTheme="minorHAnsi" w:hAnsiTheme="minorHAnsi"/>
          <w:color w:val="000000"/>
        </w:rPr>
        <w:t>of</w:t>
      </w:r>
      <w:r w:rsidRPr="00F91788">
        <w:rPr>
          <w:rFonts w:asciiTheme="minorHAnsi" w:hAnsiTheme="minorHAnsi"/>
          <w:color w:val="000000"/>
        </w:rPr>
        <w:t xml:space="preserve"> the current Rule 21 tariff:</w:t>
      </w:r>
    </w:p>
    <w:p w14:paraId="1256CBC2" w14:textId="77777777" w:rsidR="003D35F7" w:rsidRPr="00F91788" w:rsidRDefault="003D35F7" w:rsidP="00693175">
      <w:pPr>
        <w:rPr>
          <w:rFonts w:asciiTheme="minorHAnsi" w:hAnsiTheme="minorHAnsi"/>
          <w:color w:val="000000"/>
        </w:rPr>
      </w:pPr>
    </w:p>
    <w:p w14:paraId="08F3D44C" w14:textId="668A5516" w:rsidR="003D35F7" w:rsidRPr="00CB5F1D" w:rsidRDefault="003D35F7" w:rsidP="003D35F7">
      <w:pPr>
        <w:pStyle w:val="m-8088054778943683726m-2267498420393465527msolistparagraph"/>
        <w:shd w:val="clear" w:color="auto" w:fill="FFFFFF"/>
        <w:spacing w:before="0" w:beforeAutospacing="0"/>
        <w:ind w:left="720"/>
        <w:jc w:val="both"/>
        <w:rPr>
          <w:i/>
          <w:sz w:val="22"/>
          <w:szCs w:val="22"/>
        </w:rPr>
      </w:pPr>
      <w:r w:rsidRPr="00CB5F1D">
        <w:rPr>
          <w:i/>
          <w:sz w:val="22"/>
          <w:szCs w:val="22"/>
        </w:rPr>
        <w:t>Interconnection Request: An Applicant’s request to interconnect a new Generating Facility, or to increase the capacity of, or make a Material Modification to the operating characteristics of an existing Generating Facility that is interconnected with Distribution Provider's Distribution or Transmission System. (</w:t>
      </w:r>
      <w:proofErr w:type="gramStart"/>
      <w:r w:rsidRPr="00CB5F1D">
        <w:rPr>
          <w:i/>
          <w:sz w:val="22"/>
          <w:szCs w:val="22"/>
        </w:rPr>
        <w:t>page</w:t>
      </w:r>
      <w:proofErr w:type="gramEnd"/>
      <w:r w:rsidRPr="00CB5F1D">
        <w:rPr>
          <w:i/>
          <w:sz w:val="22"/>
          <w:szCs w:val="22"/>
        </w:rPr>
        <w:t xml:space="preserve"> 17)</w:t>
      </w:r>
      <w:r w:rsidRPr="00CB5F1D">
        <w:rPr>
          <w:rStyle w:val="FootnoteReference"/>
          <w:i/>
          <w:sz w:val="22"/>
          <w:szCs w:val="22"/>
        </w:rPr>
        <w:footnoteReference w:id="6"/>
      </w:r>
    </w:p>
    <w:p w14:paraId="5FD7301B" w14:textId="1C8C2F45" w:rsidR="008E70B1" w:rsidRPr="00F91788" w:rsidRDefault="0048318C" w:rsidP="003D35F7">
      <w:pPr>
        <w:rPr>
          <w:rFonts w:asciiTheme="minorHAnsi" w:hAnsiTheme="minorHAnsi"/>
          <w:color w:val="000000"/>
        </w:rPr>
      </w:pPr>
      <w:r w:rsidRPr="00D86D5C">
        <w:rPr>
          <w:rFonts w:asciiTheme="minorHAnsi" w:hAnsiTheme="minorHAnsi"/>
          <w:color w:val="000000"/>
        </w:rPr>
        <w:t>With respect to this definition, t</w:t>
      </w:r>
      <w:r w:rsidR="00693175" w:rsidRPr="00F91788">
        <w:rPr>
          <w:rFonts w:asciiTheme="minorHAnsi" w:hAnsiTheme="minorHAnsi"/>
          <w:color w:val="000000"/>
        </w:rPr>
        <w:t xml:space="preserve">he working group discussed that the rules for managing retrofits to an existing interconnected resource warrants further discussion.  The IOUs clarified that existing Rule 21 Tariff and Interconnection Agreements require the applicant to submit a new application reflecting the modifications to an existing facility.  Stakeholders raised that inverters and panels require maintenance and as part of that, may be swapped which </w:t>
      </w:r>
      <w:r w:rsidR="00BA0E28" w:rsidRPr="00F91788">
        <w:rPr>
          <w:rFonts w:asciiTheme="minorHAnsi" w:hAnsiTheme="minorHAnsi"/>
          <w:color w:val="000000"/>
        </w:rPr>
        <w:t xml:space="preserve">does not create additional or new safety or reliability concerns.  The IOUs do not disagree and believe that this topic given its impact to hundreds of thousands of systems warrants additional time to fully vet the concerns and potential rules to address them.  </w:t>
      </w:r>
    </w:p>
    <w:p w14:paraId="6B5C725C" w14:textId="77777777" w:rsidR="003D35F7" w:rsidRPr="00F91788" w:rsidRDefault="003D35F7" w:rsidP="00C93866">
      <w:pPr>
        <w:rPr>
          <w:rFonts w:asciiTheme="minorHAnsi" w:hAnsiTheme="minorHAnsi"/>
          <w:color w:val="000000"/>
        </w:rPr>
      </w:pPr>
    </w:p>
    <w:p w14:paraId="13A33FE7" w14:textId="005AC8F2" w:rsidR="00297D51" w:rsidRPr="00F91788" w:rsidRDefault="0048318C" w:rsidP="00693175">
      <w:pPr>
        <w:rPr>
          <w:rFonts w:asciiTheme="minorHAnsi" w:hAnsiTheme="minorHAnsi"/>
          <w:color w:val="000000"/>
        </w:rPr>
      </w:pPr>
      <w:r w:rsidRPr="00F91788">
        <w:rPr>
          <w:rFonts w:asciiTheme="minorHAnsi" w:hAnsiTheme="minorHAnsi"/>
          <w:color w:val="000000"/>
        </w:rPr>
        <w:t>Ultimately, s</w:t>
      </w:r>
      <w:r w:rsidR="00297D51" w:rsidRPr="00F91788">
        <w:rPr>
          <w:rFonts w:asciiTheme="minorHAnsi" w:hAnsiTheme="minorHAnsi"/>
          <w:color w:val="000000"/>
        </w:rPr>
        <w:t xml:space="preserve">takeholders don’t want to spend time and money filing </w:t>
      </w:r>
      <w:r w:rsidR="00ED3F36" w:rsidRPr="00F91788">
        <w:rPr>
          <w:rFonts w:asciiTheme="minorHAnsi" w:hAnsiTheme="minorHAnsi"/>
          <w:color w:val="000000"/>
        </w:rPr>
        <w:t>new interconnection requests,</w:t>
      </w:r>
      <w:r w:rsidR="00297D51" w:rsidRPr="00F91788">
        <w:rPr>
          <w:rFonts w:asciiTheme="minorHAnsi" w:hAnsiTheme="minorHAnsi"/>
          <w:color w:val="000000"/>
        </w:rPr>
        <w:t xml:space="preserve"> </w:t>
      </w:r>
      <w:r w:rsidR="003D35F7" w:rsidRPr="00F91788">
        <w:rPr>
          <w:rFonts w:asciiTheme="minorHAnsi" w:hAnsiTheme="minorHAnsi"/>
          <w:color w:val="000000"/>
        </w:rPr>
        <w:t>nor</w:t>
      </w:r>
      <w:r w:rsidR="00297D51" w:rsidRPr="00F91788">
        <w:rPr>
          <w:rFonts w:asciiTheme="minorHAnsi" w:hAnsiTheme="minorHAnsi"/>
          <w:color w:val="000000"/>
        </w:rPr>
        <w:t xml:space="preserve"> </w:t>
      </w:r>
      <w:r w:rsidRPr="00F91788">
        <w:rPr>
          <w:rFonts w:asciiTheme="minorHAnsi" w:hAnsiTheme="minorHAnsi"/>
          <w:color w:val="000000"/>
        </w:rPr>
        <w:t xml:space="preserve">burden </w:t>
      </w:r>
      <w:r w:rsidR="00297D51" w:rsidRPr="00F91788">
        <w:rPr>
          <w:rFonts w:asciiTheme="minorHAnsi" w:hAnsiTheme="minorHAnsi"/>
          <w:color w:val="000000"/>
        </w:rPr>
        <w:t xml:space="preserve">utilities investing </w:t>
      </w:r>
      <w:r w:rsidRPr="00F91788">
        <w:rPr>
          <w:rFonts w:asciiTheme="minorHAnsi" w:hAnsiTheme="minorHAnsi"/>
          <w:color w:val="000000"/>
        </w:rPr>
        <w:t>with</w:t>
      </w:r>
      <w:r w:rsidR="00ED3F36" w:rsidRPr="00F91788">
        <w:rPr>
          <w:rFonts w:asciiTheme="minorHAnsi" w:hAnsiTheme="minorHAnsi"/>
          <w:color w:val="000000"/>
        </w:rPr>
        <w:t xml:space="preserve"> potentially, very large volumes of maintenance driven, new interconnection requests, </w:t>
      </w:r>
      <w:r w:rsidR="00297D51" w:rsidRPr="00F91788">
        <w:rPr>
          <w:rFonts w:asciiTheme="minorHAnsi" w:hAnsiTheme="minorHAnsi"/>
          <w:color w:val="000000"/>
        </w:rPr>
        <w:t xml:space="preserve">for no </w:t>
      </w:r>
      <w:r w:rsidR="003D35F7" w:rsidRPr="00F91788">
        <w:rPr>
          <w:rFonts w:asciiTheme="minorHAnsi" w:hAnsiTheme="minorHAnsi"/>
          <w:color w:val="000000"/>
        </w:rPr>
        <w:t xml:space="preserve">material </w:t>
      </w:r>
      <w:r w:rsidR="00297D51" w:rsidRPr="00F91788">
        <w:rPr>
          <w:rFonts w:asciiTheme="minorHAnsi" w:hAnsiTheme="minorHAnsi"/>
          <w:color w:val="000000"/>
        </w:rPr>
        <w:t xml:space="preserve">benefit. </w:t>
      </w:r>
      <w:r w:rsidR="00ED3F36" w:rsidRPr="00F91788">
        <w:rPr>
          <w:rFonts w:asciiTheme="minorHAnsi" w:hAnsiTheme="minorHAnsi"/>
          <w:color w:val="000000"/>
        </w:rPr>
        <w:t xml:space="preserve">This would not be in the interests of the market, utilities or ratepayers. </w:t>
      </w:r>
      <w:r w:rsidR="00297D51" w:rsidRPr="00F91788">
        <w:rPr>
          <w:rFonts w:asciiTheme="minorHAnsi" w:hAnsiTheme="minorHAnsi"/>
          <w:color w:val="000000"/>
        </w:rPr>
        <w:t xml:space="preserve">Replacing equipment is part of </w:t>
      </w:r>
      <w:r w:rsidR="003D35F7" w:rsidRPr="00F91788">
        <w:rPr>
          <w:rFonts w:asciiTheme="minorHAnsi" w:hAnsiTheme="minorHAnsi"/>
          <w:color w:val="000000"/>
        </w:rPr>
        <w:t>regular maintenance and</w:t>
      </w:r>
      <w:r w:rsidR="00297D51" w:rsidRPr="00F91788">
        <w:rPr>
          <w:rFonts w:asciiTheme="minorHAnsi" w:hAnsiTheme="minorHAnsi"/>
          <w:color w:val="000000"/>
        </w:rPr>
        <w:t xml:space="preserve"> components available today </w:t>
      </w:r>
      <w:r w:rsidR="003D35F7" w:rsidRPr="00F91788">
        <w:rPr>
          <w:rFonts w:asciiTheme="minorHAnsi" w:hAnsiTheme="minorHAnsi"/>
          <w:color w:val="000000"/>
        </w:rPr>
        <w:t>may</w:t>
      </w:r>
      <w:r w:rsidR="00297D51" w:rsidRPr="00F91788">
        <w:rPr>
          <w:rFonts w:asciiTheme="minorHAnsi" w:hAnsiTheme="minorHAnsi"/>
          <w:color w:val="000000"/>
        </w:rPr>
        <w:t xml:space="preserve"> differ </w:t>
      </w:r>
      <w:r w:rsidR="00ED3F36" w:rsidRPr="00F91788">
        <w:rPr>
          <w:rFonts w:asciiTheme="minorHAnsi" w:hAnsiTheme="minorHAnsi"/>
          <w:color w:val="000000"/>
        </w:rPr>
        <w:t xml:space="preserve">slightly </w:t>
      </w:r>
      <w:r w:rsidR="00297D51" w:rsidRPr="00F91788">
        <w:rPr>
          <w:rFonts w:asciiTheme="minorHAnsi" w:hAnsiTheme="minorHAnsi"/>
          <w:color w:val="000000"/>
        </w:rPr>
        <w:t>from the originals. It is important a common-sense approach is tak</w:t>
      </w:r>
      <w:r w:rsidR="003D35F7" w:rsidRPr="00F91788">
        <w:rPr>
          <w:rFonts w:asciiTheme="minorHAnsi" w:hAnsiTheme="minorHAnsi"/>
          <w:color w:val="000000"/>
        </w:rPr>
        <w:t>en</w:t>
      </w:r>
      <w:r w:rsidR="00297D51" w:rsidRPr="00F91788">
        <w:rPr>
          <w:rFonts w:asciiTheme="minorHAnsi" w:hAnsiTheme="minorHAnsi"/>
          <w:color w:val="000000"/>
        </w:rPr>
        <w:t xml:space="preserve"> to balance </w:t>
      </w:r>
      <w:r w:rsidR="00ED3F36" w:rsidRPr="00F91788">
        <w:rPr>
          <w:rFonts w:asciiTheme="minorHAnsi" w:hAnsiTheme="minorHAnsi"/>
          <w:color w:val="000000"/>
        </w:rPr>
        <w:t xml:space="preserve">the potentially significant </w:t>
      </w:r>
      <w:r w:rsidR="00297D51" w:rsidRPr="00F91788">
        <w:rPr>
          <w:rFonts w:asciiTheme="minorHAnsi" w:hAnsiTheme="minorHAnsi"/>
          <w:color w:val="000000"/>
        </w:rPr>
        <w:t xml:space="preserve">burden and cost with </w:t>
      </w:r>
      <w:r w:rsidR="00ED3F36" w:rsidRPr="00F91788">
        <w:rPr>
          <w:rFonts w:asciiTheme="minorHAnsi" w:hAnsiTheme="minorHAnsi"/>
          <w:color w:val="000000"/>
        </w:rPr>
        <w:t>the benefit gained</w:t>
      </w:r>
      <w:r w:rsidR="00297D51" w:rsidRPr="00F91788">
        <w:rPr>
          <w:rFonts w:asciiTheme="minorHAnsi" w:hAnsiTheme="minorHAnsi"/>
          <w:color w:val="000000"/>
        </w:rPr>
        <w:t xml:space="preserve">. </w:t>
      </w:r>
    </w:p>
    <w:p w14:paraId="35FCB3B1" w14:textId="489FAE81" w:rsidR="00297D51" w:rsidRPr="00F91788" w:rsidRDefault="00297D51" w:rsidP="00693175">
      <w:pPr>
        <w:rPr>
          <w:rFonts w:asciiTheme="minorHAnsi" w:hAnsiTheme="minorHAnsi"/>
          <w:color w:val="000000"/>
        </w:rPr>
      </w:pPr>
    </w:p>
    <w:p w14:paraId="30F65771" w14:textId="5F0F48B9" w:rsidR="00297D51" w:rsidRPr="00D86D5C" w:rsidRDefault="00297D51" w:rsidP="00693175">
      <w:pPr>
        <w:rPr>
          <w:rFonts w:asciiTheme="minorHAnsi" w:hAnsiTheme="minorHAnsi"/>
          <w:color w:val="000000"/>
        </w:rPr>
      </w:pPr>
      <w:r w:rsidRPr="00F91788">
        <w:rPr>
          <w:rFonts w:asciiTheme="minorHAnsi" w:hAnsiTheme="minorHAnsi"/>
          <w:color w:val="000000"/>
        </w:rPr>
        <w:lastRenderedPageBreak/>
        <w:t>It is important</w:t>
      </w:r>
      <w:r w:rsidR="0048756A" w:rsidRPr="00F91788">
        <w:rPr>
          <w:rFonts w:asciiTheme="minorHAnsi" w:hAnsiTheme="minorHAnsi"/>
          <w:color w:val="000000"/>
        </w:rPr>
        <w:t xml:space="preserve"> that</w:t>
      </w:r>
      <w:r w:rsidRPr="00F91788">
        <w:rPr>
          <w:rFonts w:asciiTheme="minorHAnsi" w:hAnsiTheme="minorHAnsi"/>
          <w:color w:val="000000"/>
        </w:rPr>
        <w:t xml:space="preserve"> the definition for a material modification to an existing system (retrofitting) is </w:t>
      </w:r>
      <w:r w:rsidR="0048756A" w:rsidRPr="00F91788">
        <w:rPr>
          <w:rFonts w:asciiTheme="minorHAnsi" w:hAnsiTheme="minorHAnsi"/>
          <w:color w:val="000000"/>
        </w:rPr>
        <w:t>reviewed</w:t>
      </w:r>
      <w:r w:rsidR="00ED3F36" w:rsidRPr="00F91788">
        <w:rPr>
          <w:rFonts w:asciiTheme="minorHAnsi" w:hAnsiTheme="minorHAnsi"/>
          <w:color w:val="000000"/>
        </w:rPr>
        <w:t>,</w:t>
      </w:r>
      <w:r w:rsidRPr="00F91788">
        <w:rPr>
          <w:rFonts w:asciiTheme="minorHAnsi" w:hAnsiTheme="minorHAnsi"/>
          <w:color w:val="000000"/>
        </w:rPr>
        <w:t xml:space="preserve"> to offer guidance</w:t>
      </w:r>
      <w:r w:rsidR="00ED3F36" w:rsidRPr="00F91788">
        <w:rPr>
          <w:rFonts w:asciiTheme="minorHAnsi" w:hAnsiTheme="minorHAnsi"/>
          <w:color w:val="000000"/>
        </w:rPr>
        <w:t xml:space="preserve"> to the market</w:t>
      </w:r>
      <w:r w:rsidRPr="00F91788">
        <w:rPr>
          <w:rFonts w:asciiTheme="minorHAnsi" w:hAnsiTheme="minorHAnsi"/>
          <w:color w:val="000000"/>
        </w:rPr>
        <w:t xml:space="preserve"> as to when a new interconnection request must be submitted. There may also be an option to notify the utility </w:t>
      </w:r>
      <w:r w:rsidR="00ED3F36" w:rsidRPr="00F91788">
        <w:rPr>
          <w:rFonts w:asciiTheme="minorHAnsi" w:hAnsiTheme="minorHAnsi"/>
          <w:color w:val="000000"/>
        </w:rPr>
        <w:t xml:space="preserve">of non-material modifications </w:t>
      </w:r>
      <w:r w:rsidRPr="00F91788">
        <w:rPr>
          <w:rFonts w:asciiTheme="minorHAnsi" w:hAnsiTheme="minorHAnsi"/>
          <w:color w:val="000000"/>
        </w:rPr>
        <w:t xml:space="preserve">to allow their records to be updated </w:t>
      </w:r>
      <w:r w:rsidR="00ED3F36" w:rsidRPr="00F91788">
        <w:rPr>
          <w:rFonts w:asciiTheme="minorHAnsi" w:hAnsiTheme="minorHAnsi"/>
          <w:color w:val="000000"/>
        </w:rPr>
        <w:t xml:space="preserve">but avoid the submission </w:t>
      </w:r>
      <w:r w:rsidRPr="00F91788">
        <w:rPr>
          <w:rFonts w:asciiTheme="minorHAnsi" w:hAnsiTheme="minorHAnsi"/>
          <w:color w:val="000000"/>
        </w:rPr>
        <w:t xml:space="preserve">of </w:t>
      </w:r>
      <w:r w:rsidR="00ED3F36" w:rsidRPr="00F91788">
        <w:rPr>
          <w:rFonts w:asciiTheme="minorHAnsi" w:hAnsiTheme="minorHAnsi"/>
          <w:color w:val="000000"/>
        </w:rPr>
        <w:t>new</w:t>
      </w:r>
      <w:r w:rsidRPr="00F91788">
        <w:rPr>
          <w:rFonts w:asciiTheme="minorHAnsi" w:hAnsiTheme="minorHAnsi"/>
          <w:color w:val="000000"/>
        </w:rPr>
        <w:t xml:space="preserve"> interconnection request.</w:t>
      </w:r>
    </w:p>
    <w:p w14:paraId="02BA7EA0" w14:textId="77777777" w:rsidR="00693175" w:rsidRPr="00F91788" w:rsidRDefault="00693175" w:rsidP="00693175">
      <w:pPr>
        <w:rPr>
          <w:rFonts w:asciiTheme="minorHAnsi" w:hAnsiTheme="minorHAnsi"/>
          <w:color w:val="000000"/>
        </w:rPr>
      </w:pPr>
    </w:p>
    <w:p w14:paraId="7F77B0BC" w14:textId="497A65B6" w:rsidR="001672F6" w:rsidRPr="00F72317" w:rsidRDefault="001672F6" w:rsidP="009D4761">
      <w:pPr>
        <w:jc w:val="center"/>
        <w:outlineLvl w:val="0"/>
        <w:rPr>
          <w:rFonts w:asciiTheme="majorHAnsi" w:hAnsiTheme="majorHAnsi"/>
          <w:b/>
          <w:color w:val="000000"/>
        </w:rPr>
      </w:pPr>
      <w:r w:rsidRPr="00F72317">
        <w:rPr>
          <w:rFonts w:asciiTheme="majorHAnsi" w:hAnsiTheme="majorHAnsi"/>
          <w:b/>
          <w:color w:val="000000"/>
        </w:rPr>
        <w:t xml:space="preserve">Appendix A: </w:t>
      </w:r>
      <w:r w:rsidR="00A635F7">
        <w:rPr>
          <w:rFonts w:asciiTheme="majorHAnsi" w:hAnsiTheme="majorHAnsi"/>
          <w:b/>
          <w:color w:val="000000"/>
        </w:rPr>
        <w:t>Relevant Sections of Rule 21</w:t>
      </w:r>
    </w:p>
    <w:p w14:paraId="52090342" w14:textId="77777777" w:rsidR="007E1A1B" w:rsidRDefault="007E1A1B" w:rsidP="001672F6">
      <w:pPr>
        <w:autoSpaceDE w:val="0"/>
        <w:autoSpaceDN w:val="0"/>
        <w:adjustRightInd w:val="0"/>
        <w:rPr>
          <w:rFonts w:asciiTheme="minorHAnsi" w:hAnsiTheme="minorHAnsi"/>
          <w:b/>
        </w:rPr>
      </w:pPr>
    </w:p>
    <w:p w14:paraId="747A91FD" w14:textId="3FC9997D" w:rsidR="00A01943" w:rsidRPr="00A01943" w:rsidRDefault="00A01943" w:rsidP="00A01943">
      <w:pPr>
        <w:outlineLvl w:val="0"/>
        <w:rPr>
          <w:rFonts w:asciiTheme="minorHAnsi" w:hAnsiTheme="minorHAnsi" w:cs="Arial"/>
          <w:b/>
          <w:bCs/>
          <w:sz w:val="14"/>
          <w:szCs w:val="20"/>
        </w:rPr>
      </w:pPr>
      <w:r w:rsidRPr="00A01943">
        <w:rPr>
          <w:rFonts w:asciiTheme="minorHAnsi" w:hAnsiTheme="minorHAnsi" w:cs="Arial"/>
          <w:sz w:val="14"/>
          <w:szCs w:val="20"/>
          <w:u w:val="single"/>
        </w:rPr>
        <w:t>C. Definitions</w:t>
      </w:r>
    </w:p>
    <w:p w14:paraId="1D3F8CA0"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b/>
          <w:bCs/>
          <w:sz w:val="14"/>
          <w:szCs w:val="20"/>
        </w:rPr>
        <w:t xml:space="preserve">Material Modification: </w:t>
      </w:r>
      <w:r w:rsidRPr="00A01943">
        <w:rPr>
          <w:rFonts w:asciiTheme="minorHAnsi" w:hAnsiTheme="minorHAnsi" w:cs="Arial"/>
          <w:sz w:val="14"/>
          <w:szCs w:val="20"/>
        </w:rPr>
        <w:t>Those modifications that have a material impact on cost or timing of any Interconnection Request with a later queue priority date or a change in Point of Interconnection. A Material Modification does not include a change in ownership of a Generating Facility.</w:t>
      </w:r>
    </w:p>
    <w:p w14:paraId="2A029764" w14:textId="77777777" w:rsidR="00A01943" w:rsidRPr="00A01943" w:rsidRDefault="00A01943" w:rsidP="00A01943">
      <w:pPr>
        <w:autoSpaceDE w:val="0"/>
        <w:autoSpaceDN w:val="0"/>
        <w:adjustRightInd w:val="0"/>
        <w:rPr>
          <w:rFonts w:asciiTheme="minorHAnsi" w:hAnsiTheme="minorHAnsi" w:cs="Arial"/>
          <w:sz w:val="14"/>
          <w:szCs w:val="20"/>
        </w:rPr>
      </w:pPr>
    </w:p>
    <w:p w14:paraId="407692D2"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sz w:val="14"/>
          <w:szCs w:val="20"/>
        </w:rPr>
        <w:t xml:space="preserve">SCE’s Definition: </w:t>
      </w:r>
    </w:p>
    <w:p w14:paraId="1FEB64AC" w14:textId="77777777" w:rsidR="00A01943" w:rsidRPr="00A01943" w:rsidRDefault="00A01943" w:rsidP="00A01943">
      <w:pPr>
        <w:autoSpaceDE w:val="0"/>
        <w:autoSpaceDN w:val="0"/>
        <w:adjustRightInd w:val="0"/>
        <w:rPr>
          <w:rFonts w:ascii="Arial" w:hAnsi="Arial" w:cs="Arial"/>
          <w:sz w:val="16"/>
          <w:szCs w:val="20"/>
        </w:rPr>
      </w:pPr>
      <w:r w:rsidRPr="00A01943">
        <w:rPr>
          <w:rFonts w:asciiTheme="minorHAnsi" w:hAnsiTheme="minorHAnsi" w:cs="Arial"/>
          <w:b/>
          <w:sz w:val="14"/>
          <w:szCs w:val="20"/>
        </w:rPr>
        <w:t>Material Modification:</w:t>
      </w:r>
      <w:r w:rsidRPr="00A01943">
        <w:rPr>
          <w:rFonts w:asciiTheme="minorHAnsi" w:hAnsiTheme="minorHAnsi" w:cs="Arial"/>
          <w:sz w:val="14"/>
          <w:szCs w:val="20"/>
        </w:rPr>
        <w:t xml:space="preserve"> Those modifications that have a material impact on cost or timing of any Interconnection Request with the same or a later queue priority date or a change in Point of Interconnection. A Material Modification does not include a change in ownership of a Generating Facility.</w:t>
      </w:r>
    </w:p>
    <w:p w14:paraId="2481E0EB" w14:textId="77777777" w:rsidR="00A01943" w:rsidRPr="00A01943" w:rsidRDefault="00A01943" w:rsidP="00A01943">
      <w:pPr>
        <w:autoSpaceDE w:val="0"/>
        <w:autoSpaceDN w:val="0"/>
        <w:adjustRightInd w:val="0"/>
        <w:rPr>
          <w:rFonts w:ascii="Arial" w:hAnsi="Arial" w:cs="Arial"/>
          <w:sz w:val="16"/>
          <w:szCs w:val="20"/>
        </w:rPr>
      </w:pPr>
    </w:p>
    <w:p w14:paraId="259E6752" w14:textId="77777777" w:rsidR="00A01943" w:rsidRPr="00A01943" w:rsidRDefault="00A01943" w:rsidP="00A01943">
      <w:pPr>
        <w:autoSpaceDE w:val="0"/>
        <w:autoSpaceDN w:val="0"/>
        <w:adjustRightInd w:val="0"/>
        <w:rPr>
          <w:rFonts w:asciiTheme="minorHAnsi" w:hAnsiTheme="minorHAnsi" w:cs="Arial"/>
          <w:sz w:val="14"/>
          <w:szCs w:val="20"/>
          <w:u w:val="single"/>
        </w:rPr>
      </w:pPr>
      <w:r w:rsidRPr="00A01943">
        <w:rPr>
          <w:rFonts w:asciiTheme="minorHAnsi" w:hAnsiTheme="minorHAnsi" w:cs="Arial"/>
          <w:sz w:val="14"/>
          <w:szCs w:val="20"/>
          <w:u w:val="single"/>
        </w:rPr>
        <w:t xml:space="preserve">D.5. Design Reviews and Inspections </w:t>
      </w:r>
    </w:p>
    <w:p w14:paraId="48EE875C"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sz w:val="14"/>
          <w:szCs w:val="20"/>
        </w:rPr>
        <w:t>Distribution Provider may require a Producer to make modifications as necessary to comply with the requirements of this Rule.</w:t>
      </w:r>
    </w:p>
    <w:p w14:paraId="01CBB4B5" w14:textId="77777777" w:rsidR="00A01943" w:rsidRPr="00A01943" w:rsidRDefault="00A01943" w:rsidP="00A01943">
      <w:pPr>
        <w:autoSpaceDE w:val="0"/>
        <w:autoSpaceDN w:val="0"/>
        <w:adjustRightInd w:val="0"/>
        <w:rPr>
          <w:rFonts w:asciiTheme="minorHAnsi" w:hAnsiTheme="minorHAnsi" w:cs="Arial"/>
          <w:sz w:val="14"/>
          <w:szCs w:val="20"/>
        </w:rPr>
      </w:pPr>
    </w:p>
    <w:p w14:paraId="7EE046E3" w14:textId="77777777" w:rsidR="00A01943" w:rsidRPr="00A01943" w:rsidRDefault="00A01943" w:rsidP="00A01943">
      <w:pPr>
        <w:autoSpaceDE w:val="0"/>
        <w:autoSpaceDN w:val="0"/>
        <w:adjustRightInd w:val="0"/>
        <w:rPr>
          <w:rFonts w:asciiTheme="minorHAnsi" w:hAnsiTheme="minorHAnsi" w:cs="Arial"/>
          <w:sz w:val="14"/>
          <w:szCs w:val="20"/>
          <w:u w:val="single"/>
        </w:rPr>
      </w:pPr>
      <w:r w:rsidRPr="00A01943">
        <w:rPr>
          <w:rFonts w:asciiTheme="minorHAnsi" w:hAnsiTheme="minorHAnsi" w:cs="Arial"/>
          <w:sz w:val="14"/>
          <w:szCs w:val="20"/>
          <w:u w:val="single"/>
        </w:rPr>
        <w:t>Fast Track Process</w:t>
      </w:r>
    </w:p>
    <w:p w14:paraId="7D0C6913"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F.2.a Initial Review</w:t>
      </w:r>
    </w:p>
    <w:p w14:paraId="60280359"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No changes may be made to the planned Point of Interconnection or Generating Facility size included in the Interconnection Request during the Fast Track Process, unless such changes are agreed to by Distribution Provider. Where agreement has not been reached, Applicants choosing to change the Point of Interconnection or Generating Facility size must reapply and submit a new Interconnection Request.</w:t>
      </w:r>
    </w:p>
    <w:p w14:paraId="7A155A80"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p>
    <w:p w14:paraId="203DD34B"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F.2.b Optional Initial Review Meeting</w:t>
      </w:r>
    </w:p>
    <w:p w14:paraId="7EDFA235"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 xml:space="preserve">If modifications that obviate the need for Supplemental Review are identified, and Applicant and Distribution Provider agree to such modifications, Distribution Provider shall provide Applicant with a Generator Interconnection Agreement within fifteen (15) Business Days of the Initial Review results meeting if no Interconnection Facilities or Distribution Upgrades are required. If Interconnection Facilities or Distribution Upgrades are required, Distribution Provider shall provide Applicant with a non-binding cost estimate of any Interconnection Facilities or Distribution Upgrades within fifteen (15) Business Days of the Initial Review results meeting. </w:t>
      </w:r>
    </w:p>
    <w:p w14:paraId="645ED3C5"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p>
    <w:p w14:paraId="24EF2AD3"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F.2.d Optional Supplemental Review Meeting</w:t>
      </w:r>
    </w:p>
    <w:p w14:paraId="064A969B" w14:textId="77777777" w:rsidR="00A01943" w:rsidRPr="00A01943" w:rsidRDefault="00A01943" w:rsidP="00A01943">
      <w:pPr>
        <w:autoSpaceDE w:val="0"/>
        <w:autoSpaceDN w:val="0"/>
        <w:adjustRightInd w:val="0"/>
        <w:ind w:left="720"/>
        <w:rPr>
          <w:rFonts w:ascii="Arial" w:hAnsi="Arial" w:cs="Arial"/>
          <w:sz w:val="18"/>
          <w:szCs w:val="24"/>
        </w:rPr>
      </w:pPr>
      <w:r w:rsidRPr="00A01943">
        <w:rPr>
          <w:rFonts w:asciiTheme="minorHAnsi" w:hAnsiTheme="minorHAnsi" w:cs="Arial"/>
          <w:sz w:val="14"/>
          <w:szCs w:val="20"/>
        </w:rPr>
        <w:t xml:space="preserve">If modifications that obviate the need for Detailed Study are identified and Applicant and Distribution Provider agree to such modifications, Distribution Provider shall provide Applicant with a Generator Interconnection Agreement within fifteen (15) Business Days of the Supplemental Review results meeting if no Interconnection Facilities or Distribution Upgrades are required. If Interconnection Facilities or Distribution Upgrades are required, Distribution Provider shall provide Applicant with a non-binding cost estimate of any Interconnection Facilities or Distribution Upgrades within fifteen (15) Business Days of the Supplemental Review results meeting. </w:t>
      </w:r>
    </w:p>
    <w:p w14:paraId="76806364"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p>
    <w:p w14:paraId="3671DE2D" w14:textId="77777777" w:rsidR="00A01943" w:rsidRPr="00A01943" w:rsidRDefault="00A01943" w:rsidP="00A01943">
      <w:pPr>
        <w:autoSpaceDE w:val="0"/>
        <w:autoSpaceDN w:val="0"/>
        <w:adjustRightInd w:val="0"/>
        <w:rPr>
          <w:rFonts w:asciiTheme="minorHAnsi" w:hAnsiTheme="minorHAnsi" w:cs="Arial"/>
          <w:sz w:val="14"/>
          <w:szCs w:val="20"/>
          <w:u w:val="single"/>
        </w:rPr>
      </w:pPr>
      <w:r w:rsidRPr="00A01943">
        <w:rPr>
          <w:rFonts w:asciiTheme="minorHAnsi" w:hAnsiTheme="minorHAnsi" w:cs="Arial"/>
          <w:sz w:val="14"/>
          <w:szCs w:val="20"/>
          <w:u w:val="single"/>
        </w:rPr>
        <w:t>Independent Study Process</w:t>
      </w:r>
    </w:p>
    <w:p w14:paraId="49653EF0"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F.3.b.v Independent Study Process</w:t>
      </w:r>
    </w:p>
    <w:p w14:paraId="4C2C47D1"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At any time during the course of the Interconnection Studies, Applicant, Distribution Provider, or the CAISO, as applicable, may identify changes to the planned Interconnection that may improve the costs and benefits (including reliability) of the Interconnection, and the ability of the proposed change to accommodate the Interconnection Request. To the extent the identified changes are acceptable to Distribution Provider, the CAISO, as applicable, and Applicant, such acceptance not to be unreasonably withheld, Distribution Provider shall modify the Point of Interconnection and/or configuration in accordance with such changes without altering the Interconnection Request’s eligibility for participating in Interconnection Studies.</w:t>
      </w:r>
    </w:p>
    <w:p w14:paraId="59CBF377"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00481492"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 xml:space="preserve">Modifications permitted under this Section F.3.b.v shall include specifically: </w:t>
      </w:r>
    </w:p>
    <w:p w14:paraId="6849CD93"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b/>
        <w:t xml:space="preserve">(a) </w:t>
      </w:r>
      <w:proofErr w:type="gramStart"/>
      <w:r w:rsidRPr="00A01943">
        <w:rPr>
          <w:rFonts w:asciiTheme="minorHAnsi" w:hAnsiTheme="minorHAnsi" w:cs="Arial"/>
          <w:sz w:val="14"/>
          <w:szCs w:val="20"/>
        </w:rPr>
        <w:t>a</w:t>
      </w:r>
      <w:proofErr w:type="gramEnd"/>
      <w:r w:rsidRPr="00A01943">
        <w:rPr>
          <w:rFonts w:asciiTheme="minorHAnsi" w:hAnsiTheme="minorHAnsi" w:cs="Arial"/>
          <w:sz w:val="14"/>
          <w:szCs w:val="20"/>
        </w:rPr>
        <w:t xml:space="preserve"> decrease in the electrical output (MW) of the proposed Generating Facility;</w:t>
      </w:r>
    </w:p>
    <w:p w14:paraId="72606481"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b/>
        <w:t xml:space="preserve">(b) </w:t>
      </w:r>
      <w:proofErr w:type="gramStart"/>
      <w:r w:rsidRPr="00A01943">
        <w:rPr>
          <w:rFonts w:asciiTheme="minorHAnsi" w:hAnsiTheme="minorHAnsi" w:cs="Arial"/>
          <w:sz w:val="14"/>
          <w:szCs w:val="20"/>
        </w:rPr>
        <w:t>modifying</w:t>
      </w:r>
      <w:proofErr w:type="gramEnd"/>
      <w:r w:rsidRPr="00A01943">
        <w:rPr>
          <w:rFonts w:asciiTheme="minorHAnsi" w:hAnsiTheme="minorHAnsi" w:cs="Arial"/>
          <w:sz w:val="14"/>
          <w:szCs w:val="20"/>
        </w:rPr>
        <w:t xml:space="preserve"> the technical parameters associated with the Generating Facility technology or the </w:t>
      </w:r>
      <w:r w:rsidRPr="00A01943">
        <w:rPr>
          <w:rFonts w:asciiTheme="minorHAnsi" w:hAnsiTheme="minorHAnsi" w:cs="Arial"/>
          <w:sz w:val="14"/>
          <w:szCs w:val="20"/>
        </w:rPr>
        <w:tab/>
        <w:t xml:space="preserve">Generating Facility step-up transformer impedance characteristics; and </w:t>
      </w:r>
    </w:p>
    <w:p w14:paraId="76FCAADC"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ab/>
        <w:t xml:space="preserve">(c) </w:t>
      </w:r>
      <w:proofErr w:type="gramStart"/>
      <w:r w:rsidRPr="00A01943">
        <w:rPr>
          <w:rFonts w:asciiTheme="minorHAnsi" w:hAnsiTheme="minorHAnsi" w:cs="Arial"/>
          <w:sz w:val="14"/>
          <w:szCs w:val="20"/>
        </w:rPr>
        <w:t>modifying</w:t>
      </w:r>
      <w:proofErr w:type="gramEnd"/>
      <w:r w:rsidRPr="00A01943">
        <w:rPr>
          <w:rFonts w:asciiTheme="minorHAnsi" w:hAnsiTheme="minorHAnsi" w:cs="Arial"/>
          <w:sz w:val="14"/>
          <w:szCs w:val="20"/>
        </w:rPr>
        <w:t xml:space="preserve"> the interconnection configuration. </w:t>
      </w:r>
    </w:p>
    <w:p w14:paraId="5633BFD1"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1A52A58C"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For any modifications other than those permitted above, Distribution Provider, in coordination with CAISO, if applicable, will evaluate whether the proposed modification to the Interconnection Request constitutes a Material Modification.</w:t>
      </w:r>
    </w:p>
    <w:p w14:paraId="6FA59F8F"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3FE71787"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Distribution Provider will inform Applicant in writing whether the modifications would constitute a Material Modification within ten (10) Business Days of receipt of the proposed request for modification. Any change to the Point of Interconnection, except for that specified by Distribution Provider in an Interconnection Study or otherwise allowed under this Section F.3.d.v, shall constitute a Material Modification.</w:t>
      </w:r>
    </w:p>
    <w:p w14:paraId="1F7E6326"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4EAE58C2"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If the proposed modification is determined to be a Material Modification, Applicant may either withdraw the proposed modification or proceed with a new Interconnection Request for such modification. Applicant shall make such determination within ten (10) Business Days after being provided the Material Modification determination results.</w:t>
      </w:r>
    </w:p>
    <w:p w14:paraId="118FEDE9" w14:textId="77777777" w:rsidR="00A01943" w:rsidRPr="00A01943" w:rsidRDefault="00A01943" w:rsidP="00A01943">
      <w:pPr>
        <w:autoSpaceDE w:val="0"/>
        <w:autoSpaceDN w:val="0"/>
        <w:adjustRightInd w:val="0"/>
        <w:ind w:left="720"/>
        <w:rPr>
          <w:rFonts w:asciiTheme="minorHAnsi" w:hAnsiTheme="minorHAnsi" w:cs="Arial"/>
          <w:sz w:val="14"/>
          <w:szCs w:val="20"/>
        </w:rPr>
      </w:pPr>
    </w:p>
    <w:p w14:paraId="59A6B88B" w14:textId="77777777" w:rsidR="00A01943" w:rsidRPr="00A01943" w:rsidRDefault="00A01943" w:rsidP="00A01943">
      <w:pPr>
        <w:autoSpaceDE w:val="0"/>
        <w:autoSpaceDN w:val="0"/>
        <w:adjustRightInd w:val="0"/>
        <w:ind w:left="720"/>
        <w:rPr>
          <w:rFonts w:asciiTheme="minorHAnsi" w:hAnsiTheme="minorHAnsi" w:cs="Arial"/>
          <w:sz w:val="14"/>
          <w:szCs w:val="20"/>
        </w:rPr>
      </w:pPr>
      <w:r w:rsidRPr="00A01943">
        <w:rPr>
          <w:rFonts w:asciiTheme="minorHAnsi" w:hAnsiTheme="minorHAnsi" w:cs="Arial"/>
          <w:sz w:val="14"/>
          <w:szCs w:val="20"/>
        </w:rPr>
        <w:t>Proposed modifications determined not to be Material Modifications may still necessitate the need to re-evaluate the System Impact Study to determine modifications to the Interconnection Facilities and Distribution Upgrades. Distribution Provider will provide Applicant an estimate of time to complete the re-evaluation and the associated incremental cost required to complete the re-evaluation. Applicant may either accept the additional time and cost to complete the re-evaluation, withdraw the proposed modification request, or proceed with a new Interconnection Request for such modification. Applicant shall make such determination within ten (10) Business Days after being provided the Material Modification results.</w:t>
      </w:r>
    </w:p>
    <w:p w14:paraId="6C028F79" w14:textId="77777777" w:rsidR="00A01943" w:rsidRPr="00A01943" w:rsidRDefault="00A01943" w:rsidP="00A01943">
      <w:pPr>
        <w:autoSpaceDE w:val="0"/>
        <w:autoSpaceDN w:val="0"/>
        <w:adjustRightInd w:val="0"/>
        <w:rPr>
          <w:rFonts w:asciiTheme="minorHAnsi" w:hAnsiTheme="minorHAnsi" w:cs="Arial"/>
          <w:sz w:val="14"/>
          <w:szCs w:val="20"/>
        </w:rPr>
      </w:pPr>
    </w:p>
    <w:p w14:paraId="39471323" w14:textId="77777777" w:rsidR="00A01943" w:rsidRPr="00A01943" w:rsidRDefault="00A01943" w:rsidP="00A01943">
      <w:pPr>
        <w:autoSpaceDE w:val="0"/>
        <w:autoSpaceDN w:val="0"/>
        <w:adjustRightInd w:val="0"/>
        <w:rPr>
          <w:rFonts w:asciiTheme="minorHAnsi" w:hAnsiTheme="minorHAnsi" w:cs="Arial"/>
          <w:sz w:val="14"/>
          <w:szCs w:val="20"/>
        </w:rPr>
      </w:pPr>
      <w:r w:rsidRPr="00A01943">
        <w:rPr>
          <w:rFonts w:asciiTheme="minorHAnsi" w:hAnsiTheme="minorHAnsi" w:cs="Arial"/>
          <w:sz w:val="14"/>
          <w:szCs w:val="20"/>
        </w:rPr>
        <w:t>Distribution Group Study Process</w:t>
      </w:r>
    </w:p>
    <w:p w14:paraId="76B5FB0E" w14:textId="77777777" w:rsidR="00A01943" w:rsidRPr="00A01943" w:rsidRDefault="00A01943" w:rsidP="00A01943">
      <w:pPr>
        <w:autoSpaceDE w:val="0"/>
        <w:autoSpaceDN w:val="0"/>
        <w:adjustRightInd w:val="0"/>
        <w:ind w:left="720"/>
        <w:rPr>
          <w:rFonts w:asciiTheme="minorHAnsi" w:hAnsiTheme="minorHAnsi" w:cs="Arial"/>
          <w:sz w:val="14"/>
          <w:szCs w:val="20"/>
          <w:u w:val="single"/>
        </w:rPr>
      </w:pPr>
      <w:r w:rsidRPr="00A01943">
        <w:rPr>
          <w:rFonts w:asciiTheme="minorHAnsi" w:hAnsiTheme="minorHAnsi" w:cs="Arial"/>
          <w:sz w:val="14"/>
          <w:szCs w:val="20"/>
          <w:u w:val="single"/>
        </w:rPr>
        <w:t>F.3.c.vii Distribution Group Study Process – Similar Language to the Independent Study Process</w:t>
      </w:r>
    </w:p>
    <w:p w14:paraId="54FB20C4" w14:textId="77777777" w:rsidR="00A01943" w:rsidRDefault="00A01943">
      <w:pPr>
        <w:spacing w:after="200" w:line="276" w:lineRule="auto"/>
        <w:rPr>
          <w:rFonts w:asciiTheme="majorHAnsi" w:hAnsiTheme="majorHAnsi"/>
          <w:b/>
          <w:color w:val="000000"/>
        </w:rPr>
      </w:pPr>
    </w:p>
    <w:p w14:paraId="38DD200F" w14:textId="77777777" w:rsidR="00A01943" w:rsidRDefault="00A01943">
      <w:pPr>
        <w:spacing w:after="200" w:line="276" w:lineRule="auto"/>
        <w:rPr>
          <w:rFonts w:asciiTheme="majorHAnsi" w:hAnsiTheme="majorHAnsi"/>
          <w:b/>
          <w:color w:val="000000"/>
        </w:rPr>
      </w:pPr>
      <w:r>
        <w:rPr>
          <w:rFonts w:asciiTheme="majorHAnsi" w:hAnsiTheme="majorHAnsi"/>
          <w:b/>
          <w:color w:val="000000"/>
        </w:rPr>
        <w:lastRenderedPageBreak/>
        <w:br w:type="page"/>
      </w:r>
    </w:p>
    <w:p w14:paraId="195F9B5D" w14:textId="3412308B" w:rsidR="001D7580" w:rsidRPr="00F72317" w:rsidRDefault="008F1141" w:rsidP="009D4761">
      <w:pPr>
        <w:jc w:val="center"/>
        <w:outlineLvl w:val="0"/>
        <w:rPr>
          <w:rFonts w:asciiTheme="majorHAnsi" w:hAnsiTheme="majorHAnsi"/>
          <w:b/>
          <w:color w:val="000000"/>
        </w:rPr>
      </w:pPr>
      <w:r w:rsidRPr="00F72317">
        <w:rPr>
          <w:rFonts w:asciiTheme="majorHAnsi" w:hAnsiTheme="majorHAnsi"/>
          <w:b/>
          <w:color w:val="000000"/>
        </w:rPr>
        <w:lastRenderedPageBreak/>
        <w:t>Appendix</w:t>
      </w:r>
      <w:r w:rsidR="00954274" w:rsidRPr="00F72317">
        <w:rPr>
          <w:rFonts w:asciiTheme="majorHAnsi" w:hAnsiTheme="majorHAnsi"/>
          <w:b/>
          <w:color w:val="000000"/>
        </w:rPr>
        <w:t xml:space="preserve"> </w:t>
      </w:r>
      <w:r w:rsidR="001672F6" w:rsidRPr="00F72317">
        <w:rPr>
          <w:rFonts w:asciiTheme="majorHAnsi" w:hAnsiTheme="majorHAnsi"/>
          <w:b/>
          <w:color w:val="000000"/>
        </w:rPr>
        <w:t>B</w:t>
      </w:r>
      <w:r w:rsidRPr="00F72317">
        <w:rPr>
          <w:rFonts w:asciiTheme="majorHAnsi" w:hAnsiTheme="majorHAnsi"/>
          <w:b/>
          <w:color w:val="000000"/>
        </w:rPr>
        <w:t>:</w:t>
      </w:r>
      <w:r w:rsidR="00954274" w:rsidRPr="00F72317">
        <w:rPr>
          <w:rFonts w:asciiTheme="majorHAnsi" w:hAnsiTheme="majorHAnsi"/>
          <w:b/>
          <w:color w:val="000000"/>
        </w:rPr>
        <w:t xml:space="preserve"> </w:t>
      </w:r>
      <w:r w:rsidR="00A01943">
        <w:rPr>
          <w:rFonts w:asciiTheme="majorHAnsi" w:hAnsiTheme="majorHAnsi"/>
          <w:b/>
          <w:color w:val="000000"/>
        </w:rPr>
        <w:t>Scoping Memo Dated 11/27/17</w:t>
      </w:r>
    </w:p>
    <w:p w14:paraId="2B2870F9" w14:textId="77777777" w:rsidR="00A01943" w:rsidRDefault="00A01943" w:rsidP="00A01943">
      <w:pPr>
        <w:adjustRightInd w:val="0"/>
        <w:jc w:val="center"/>
        <w:rPr>
          <w:b/>
          <w:sz w:val="24"/>
          <w:szCs w:val="24"/>
        </w:rPr>
      </w:pPr>
    </w:p>
    <w:p w14:paraId="4124DAEA" w14:textId="4982CBC2" w:rsidR="00A01943" w:rsidRPr="00A01943" w:rsidRDefault="00A01943" w:rsidP="00A01943">
      <w:pPr>
        <w:adjustRightInd w:val="0"/>
        <w:jc w:val="center"/>
        <w:rPr>
          <w:b/>
          <w:sz w:val="20"/>
          <w:szCs w:val="24"/>
        </w:rPr>
      </w:pPr>
      <w:r w:rsidRPr="00A01943">
        <w:rPr>
          <w:b/>
          <w:sz w:val="20"/>
          <w:szCs w:val="24"/>
        </w:rPr>
        <w:t>Working Group 1 - Issue 3</w:t>
      </w:r>
    </w:p>
    <w:p w14:paraId="3DEF296F" w14:textId="77777777" w:rsidR="00A01943" w:rsidRPr="00A01943" w:rsidRDefault="00A01943" w:rsidP="00A01943">
      <w:pPr>
        <w:adjustRightInd w:val="0"/>
        <w:rPr>
          <w:sz w:val="20"/>
          <w:szCs w:val="24"/>
        </w:rPr>
      </w:pPr>
    </w:p>
    <w:p w14:paraId="1B156CC8" w14:textId="77777777" w:rsidR="00A01943" w:rsidRPr="00583657" w:rsidRDefault="00A01943" w:rsidP="00A01943">
      <w:pPr>
        <w:adjustRightInd w:val="0"/>
        <w:jc w:val="both"/>
        <w:rPr>
          <w:b/>
          <w:sz w:val="18"/>
          <w:szCs w:val="24"/>
        </w:rPr>
      </w:pPr>
      <w:r w:rsidRPr="00583657">
        <w:rPr>
          <w:b/>
          <w:sz w:val="18"/>
          <w:szCs w:val="24"/>
        </w:rPr>
        <w:t>Please note that this is a preliminary draft. Not all Stakeholders have had a chance to add input. Many key stakeholders are unavailable due to the Thanksgiving Holidays. However, this captures the theme of Issue 3 whilst some detail will still be added. In an effort to progress the working group’s activities and manage the time pressures created due to the Thanksgiving holidays as best possible, this draft serves to provide clarity on the theme and stimulate discussion but is not a finalized scope for Issue 3 Working Group 1.</w:t>
      </w:r>
    </w:p>
    <w:p w14:paraId="1FFAE5E3" w14:textId="77777777" w:rsidR="00A01943" w:rsidRPr="00583657" w:rsidRDefault="00A01943" w:rsidP="00A01943">
      <w:pPr>
        <w:adjustRightInd w:val="0"/>
        <w:rPr>
          <w:b/>
          <w:sz w:val="18"/>
          <w:szCs w:val="24"/>
        </w:rPr>
      </w:pPr>
    </w:p>
    <w:p w14:paraId="1E5380DA" w14:textId="117CEF7A" w:rsidR="00A01943" w:rsidRPr="00583657" w:rsidRDefault="00A01943" w:rsidP="00A01943">
      <w:pPr>
        <w:adjustRightInd w:val="0"/>
        <w:rPr>
          <w:b/>
          <w:sz w:val="18"/>
          <w:szCs w:val="24"/>
        </w:rPr>
      </w:pPr>
      <w:r w:rsidRPr="00583657">
        <w:rPr>
          <w:b/>
          <w:sz w:val="18"/>
          <w:szCs w:val="24"/>
        </w:rPr>
        <w:t>Question:</w:t>
      </w:r>
    </w:p>
    <w:p w14:paraId="0482EE43" w14:textId="77777777" w:rsidR="00A01943" w:rsidRPr="00583657" w:rsidRDefault="00A01943" w:rsidP="00A01943">
      <w:pPr>
        <w:adjustRightInd w:val="0"/>
        <w:jc w:val="both"/>
        <w:rPr>
          <w:i/>
          <w:sz w:val="18"/>
          <w:szCs w:val="24"/>
        </w:rPr>
      </w:pPr>
      <w:r w:rsidRPr="00583657">
        <w:rPr>
          <w:i/>
          <w:sz w:val="18"/>
          <w:szCs w:val="24"/>
        </w:rPr>
        <w:t>How should the Commission clarify the definition of a “material modification” to a project and what should be the procedures for processing these modifications?</w:t>
      </w:r>
    </w:p>
    <w:p w14:paraId="2DFB2342" w14:textId="77777777" w:rsidR="00A01943" w:rsidRPr="00583657" w:rsidRDefault="00A01943" w:rsidP="00A01943">
      <w:pPr>
        <w:adjustRightInd w:val="0"/>
        <w:rPr>
          <w:sz w:val="18"/>
          <w:szCs w:val="24"/>
        </w:rPr>
      </w:pPr>
    </w:p>
    <w:p w14:paraId="70771F22" w14:textId="00FBCF2D" w:rsidR="00A01943" w:rsidRPr="00583657" w:rsidRDefault="00A01943" w:rsidP="00A01943">
      <w:pPr>
        <w:adjustRightInd w:val="0"/>
        <w:rPr>
          <w:b/>
          <w:sz w:val="18"/>
          <w:szCs w:val="24"/>
        </w:rPr>
      </w:pPr>
      <w:r w:rsidRPr="00583657">
        <w:rPr>
          <w:b/>
          <w:sz w:val="18"/>
          <w:szCs w:val="24"/>
        </w:rPr>
        <w:t>Overview by CESA:</w:t>
      </w:r>
    </w:p>
    <w:p w14:paraId="24F249DF" w14:textId="77777777"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18"/>
        </w:rPr>
      </w:pPr>
      <w:r w:rsidRPr="00583657">
        <w:rPr>
          <w:rFonts w:asciiTheme="minorHAnsi" w:hAnsiTheme="minorHAnsi" w:cstheme="minorHAnsi"/>
          <w:color w:val="000000"/>
          <w:sz w:val="18"/>
        </w:rPr>
        <w:t xml:space="preserve">A “material modification” is: </w:t>
      </w:r>
    </w:p>
    <w:p w14:paraId="7E08C6DA" w14:textId="77777777" w:rsidR="00A01943" w:rsidRPr="00583657" w:rsidRDefault="00A01943" w:rsidP="00A01943">
      <w:pPr>
        <w:adjustRightInd w:val="0"/>
        <w:ind w:left="720"/>
        <w:rPr>
          <w:i/>
          <w:sz w:val="18"/>
          <w:szCs w:val="24"/>
        </w:rPr>
      </w:pPr>
      <w:r w:rsidRPr="00583657">
        <w:rPr>
          <w:i/>
          <w:sz w:val="18"/>
          <w:szCs w:val="24"/>
        </w:rPr>
        <w:t>Those modifications that have a material impact on cost or timing of any Interconnection Request with a later queue priority date or a change in Point of Interconnection. A Material Modification does not include a change in ownership of a Generating Facility. (Section C, page 25)</w:t>
      </w:r>
      <w:bookmarkStart w:id="24" w:name="_Ref499120128"/>
      <w:r w:rsidRPr="00583657">
        <w:rPr>
          <w:rStyle w:val="FootnoteReference"/>
          <w:i/>
          <w:sz w:val="18"/>
          <w:szCs w:val="24"/>
        </w:rPr>
        <w:footnoteReference w:id="7"/>
      </w:r>
      <w:bookmarkEnd w:id="24"/>
    </w:p>
    <w:p w14:paraId="31C1870B" w14:textId="77777777" w:rsidR="00A01943" w:rsidRPr="00583657" w:rsidRDefault="00A01943" w:rsidP="00A01943">
      <w:pPr>
        <w:pStyle w:val="m-8088054778943683726m-2267498420393465527msolistparagraph"/>
        <w:shd w:val="clear" w:color="auto" w:fill="FFFFFF"/>
        <w:spacing w:before="0" w:beforeAutospacing="0" w:after="0" w:afterAutospacing="0"/>
        <w:jc w:val="both"/>
        <w:rPr>
          <w:rFonts w:asciiTheme="minorHAnsi" w:hAnsiTheme="minorHAnsi" w:cstheme="minorHAnsi"/>
          <w:color w:val="000000"/>
          <w:sz w:val="18"/>
        </w:rPr>
      </w:pPr>
    </w:p>
    <w:p w14:paraId="68666F69" w14:textId="4F519DC3"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18"/>
        </w:rPr>
      </w:pPr>
      <w:r w:rsidRPr="00583657">
        <w:rPr>
          <w:rFonts w:asciiTheme="minorHAnsi" w:hAnsiTheme="minorHAnsi" w:cstheme="minorHAnsi"/>
          <w:color w:val="000000"/>
          <w:sz w:val="18"/>
        </w:rPr>
        <w:t>A “material modification” triggers a new interconnection review process, which in some cases can be unnecessary and cause additional time and cost. In other cases, developers may not wish to pursue a project if exposed to a new interconnection assessment. Finally, today there is a perceived inconsistency in what constitutes a “material modification’ and how these rules are being applied across the IOUs.</w:t>
      </w:r>
    </w:p>
    <w:p w14:paraId="3CCCF4BF" w14:textId="77777777"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color w:val="000000"/>
          <w:sz w:val="18"/>
        </w:rPr>
      </w:pPr>
      <w:r w:rsidRPr="00583657">
        <w:rPr>
          <w:rFonts w:asciiTheme="minorHAnsi" w:hAnsiTheme="minorHAnsi" w:cstheme="minorHAnsi"/>
          <w:color w:val="000000"/>
          <w:sz w:val="18"/>
        </w:rPr>
        <w:t xml:space="preserve">We seek to clarify “material modification” in order to provide a clear and consistent pathway for modifying DER installations. The definition should be reflective of the impact to the grid and ensure triggering a new interconnection assessment is only carried out when appropriate. A framework with appropriate thresholds can inform the market to both facilitate </w:t>
      </w:r>
      <w:r w:rsidRPr="00583657">
        <w:rPr>
          <w:rFonts w:asciiTheme="minorHAnsi" w:hAnsiTheme="minorHAnsi" w:cstheme="minorHAnsi"/>
          <w:noProof/>
          <w:color w:val="000000"/>
          <w:sz w:val="18"/>
        </w:rPr>
        <w:t>non</w:t>
      </w:r>
      <w:r w:rsidRPr="00583657">
        <w:rPr>
          <w:rFonts w:asciiTheme="minorHAnsi" w:hAnsiTheme="minorHAnsi" w:cstheme="minorHAnsi"/>
          <w:noProof/>
          <w:color w:val="000000"/>
          <w:sz w:val="18"/>
        </w:rPr>
        <w:noBreakHyphen/>
        <w:t>material</w:t>
      </w:r>
      <w:r w:rsidRPr="00583657">
        <w:rPr>
          <w:rFonts w:asciiTheme="minorHAnsi" w:hAnsiTheme="minorHAnsi" w:cstheme="minorHAnsi"/>
          <w:color w:val="000000"/>
          <w:sz w:val="18"/>
        </w:rPr>
        <w:t xml:space="preserve"> modifications with reduced burden, time and cost impacts and provide certainty and consistency for undertaking material modifications. </w:t>
      </w:r>
    </w:p>
    <w:p w14:paraId="1DD628EB" w14:textId="77777777" w:rsidR="00A01943" w:rsidRPr="00583657" w:rsidRDefault="00A01943" w:rsidP="00A01943">
      <w:pPr>
        <w:pStyle w:val="NormCenterBoldUnderline"/>
        <w:jc w:val="left"/>
        <w:rPr>
          <w:rFonts w:asciiTheme="minorHAnsi" w:hAnsiTheme="minorHAnsi" w:cstheme="minorHAnsi"/>
          <w:b/>
          <w:sz w:val="18"/>
          <w:u w:val="none"/>
        </w:rPr>
      </w:pPr>
      <w:r w:rsidRPr="00583657">
        <w:rPr>
          <w:rFonts w:asciiTheme="minorHAnsi" w:hAnsiTheme="minorHAnsi" w:cstheme="minorHAnsi"/>
          <w:b/>
          <w:sz w:val="18"/>
          <w:u w:val="none"/>
        </w:rPr>
        <w:t>The problem</w:t>
      </w:r>
    </w:p>
    <w:p w14:paraId="3BEC7791" w14:textId="77777777" w:rsidR="00A01943" w:rsidRPr="00583657" w:rsidRDefault="00A01943" w:rsidP="00A01943">
      <w:pPr>
        <w:pStyle w:val="NormCenterBoldUnderline"/>
        <w:jc w:val="both"/>
        <w:rPr>
          <w:rFonts w:asciiTheme="minorHAnsi" w:hAnsiTheme="minorHAnsi" w:cstheme="minorHAnsi"/>
          <w:sz w:val="18"/>
          <w:u w:val="none"/>
        </w:rPr>
      </w:pPr>
      <w:r w:rsidRPr="00583657">
        <w:rPr>
          <w:rFonts w:asciiTheme="minorHAnsi" w:hAnsiTheme="minorHAnsi" w:cstheme="minorHAnsi"/>
          <w:sz w:val="18"/>
          <w:u w:val="none"/>
        </w:rPr>
        <w:t>The current definition of what a Material Modification does not offer the market enough information to pursue non-material modifications or understand the process for material modifications, nor does it appear to be applied consistently across IOUs. The definition that is being applied may also cause new interconnection reviews to be conducted when unnecessary, adding cost and time to projects.</w:t>
      </w:r>
    </w:p>
    <w:p w14:paraId="77D2C616" w14:textId="77777777" w:rsidR="00A01943" w:rsidRPr="00583657" w:rsidRDefault="00A01943" w:rsidP="00A01943">
      <w:pPr>
        <w:pStyle w:val="NormCenterBoldUnderline"/>
        <w:jc w:val="left"/>
        <w:rPr>
          <w:rFonts w:asciiTheme="minorHAnsi" w:hAnsiTheme="minorHAnsi" w:cstheme="minorHAnsi"/>
          <w:b/>
          <w:sz w:val="18"/>
          <w:u w:val="none"/>
        </w:rPr>
      </w:pPr>
    </w:p>
    <w:p w14:paraId="79B3D85A" w14:textId="77777777" w:rsidR="00A01943" w:rsidRPr="00583657" w:rsidRDefault="00A01943" w:rsidP="00A01943">
      <w:pPr>
        <w:pStyle w:val="NormCenterBoldUnderline"/>
        <w:jc w:val="left"/>
        <w:rPr>
          <w:rFonts w:asciiTheme="minorHAnsi" w:hAnsiTheme="minorHAnsi" w:cstheme="minorHAnsi"/>
          <w:b/>
          <w:sz w:val="18"/>
          <w:u w:val="none"/>
        </w:rPr>
      </w:pPr>
      <w:r w:rsidRPr="00583657">
        <w:rPr>
          <w:rFonts w:asciiTheme="minorHAnsi" w:hAnsiTheme="minorHAnsi" w:cstheme="minorHAnsi"/>
          <w:b/>
          <w:sz w:val="18"/>
          <w:u w:val="none"/>
        </w:rPr>
        <w:t>Additional Information</w:t>
      </w:r>
    </w:p>
    <w:p w14:paraId="037FFD5E" w14:textId="77777777" w:rsidR="00A01943" w:rsidRPr="00583657" w:rsidRDefault="00A01943" w:rsidP="00A01943">
      <w:pPr>
        <w:pStyle w:val="NormCenterBoldUnderline"/>
        <w:jc w:val="left"/>
        <w:rPr>
          <w:rFonts w:asciiTheme="minorHAnsi" w:hAnsiTheme="minorHAnsi" w:cstheme="minorHAnsi"/>
          <w:sz w:val="18"/>
          <w:u w:val="none"/>
        </w:rPr>
      </w:pPr>
      <w:r w:rsidRPr="00583657">
        <w:rPr>
          <w:rFonts w:asciiTheme="minorHAnsi" w:hAnsiTheme="minorHAnsi" w:cstheme="minorHAnsi"/>
          <w:sz w:val="18"/>
          <w:u w:val="none"/>
        </w:rPr>
        <w:t>Some relevant definitions from Rule 21 are:</w:t>
      </w:r>
    </w:p>
    <w:p w14:paraId="6027BE9C" w14:textId="77777777" w:rsidR="00A01943" w:rsidRPr="00583657" w:rsidRDefault="00A01943" w:rsidP="00A01943">
      <w:pPr>
        <w:adjustRightInd w:val="0"/>
        <w:rPr>
          <w:sz w:val="16"/>
        </w:rPr>
      </w:pPr>
    </w:p>
    <w:p w14:paraId="6FC8611A" w14:textId="77777777" w:rsidR="00A01943" w:rsidRPr="00583657" w:rsidRDefault="00A01943" w:rsidP="00A01943">
      <w:pPr>
        <w:adjustRightInd w:val="0"/>
        <w:ind w:left="720"/>
        <w:jc w:val="both"/>
        <w:rPr>
          <w:i/>
          <w:sz w:val="18"/>
          <w:szCs w:val="24"/>
        </w:rPr>
      </w:pPr>
      <w:r w:rsidRPr="00583657">
        <w:rPr>
          <w:b/>
          <w:i/>
          <w:sz w:val="18"/>
          <w:szCs w:val="24"/>
        </w:rPr>
        <w:t>Interconnection Request:</w:t>
      </w:r>
      <w:r w:rsidRPr="00583657">
        <w:rPr>
          <w:i/>
          <w:sz w:val="18"/>
          <w:szCs w:val="24"/>
        </w:rPr>
        <w:t xml:space="preserve"> An Applicant’s request to interconnect a new Generating Facility, or to increase the capacity of, or make a Material Modification to the operating characteristics of, an existing Generating Facility that is interconnected with Distribution Provider’s Distribution or Transmission System.</w:t>
      </w:r>
    </w:p>
    <w:p w14:paraId="75421B01" w14:textId="77777777" w:rsidR="00A01943" w:rsidRPr="00583657" w:rsidRDefault="00A01943" w:rsidP="00A01943">
      <w:pPr>
        <w:adjustRightInd w:val="0"/>
        <w:jc w:val="both"/>
        <w:rPr>
          <w:i/>
          <w:sz w:val="18"/>
          <w:szCs w:val="24"/>
        </w:rPr>
      </w:pPr>
    </w:p>
    <w:p w14:paraId="0412D93F" w14:textId="77777777" w:rsidR="00A01943" w:rsidRPr="00583657" w:rsidRDefault="00A01943" w:rsidP="00A01943">
      <w:pPr>
        <w:adjustRightInd w:val="0"/>
        <w:ind w:left="720"/>
        <w:jc w:val="both"/>
        <w:rPr>
          <w:i/>
          <w:sz w:val="18"/>
          <w:szCs w:val="24"/>
        </w:rPr>
      </w:pPr>
      <w:r w:rsidRPr="00583657">
        <w:rPr>
          <w:i/>
          <w:sz w:val="18"/>
          <w:szCs w:val="24"/>
        </w:rPr>
        <w:t>Modifications permitted under this Section F.3.b.v shall include specifically: (a) a decrease in the electrical output (MW) of the proposed Generating Facility; (b) modifying the technical parameters associated with the Generating Facility technology or the Generating Facility step-up transformer impedance characteristics; and (c) modifying the interconnection configuration. For any modifications other than those permitted above, Distribution Provider, in coordination with CAISO, if applicable, will evaluate whether the proposed modification to the Interconnection Request constitutes a Material Modification.</w:t>
      </w:r>
    </w:p>
    <w:p w14:paraId="6224FE4E" w14:textId="77777777" w:rsidR="00A01943" w:rsidRPr="00583657" w:rsidRDefault="00A01943" w:rsidP="00A01943">
      <w:pPr>
        <w:adjustRightInd w:val="0"/>
        <w:jc w:val="both"/>
        <w:rPr>
          <w:i/>
          <w:sz w:val="16"/>
        </w:rPr>
      </w:pPr>
    </w:p>
    <w:p w14:paraId="403CEDEC" w14:textId="77777777" w:rsidR="00A01943" w:rsidRPr="00583657" w:rsidRDefault="00A01943" w:rsidP="00A01943">
      <w:pPr>
        <w:adjustRightInd w:val="0"/>
        <w:ind w:left="720"/>
        <w:jc w:val="both"/>
        <w:rPr>
          <w:i/>
          <w:sz w:val="18"/>
          <w:szCs w:val="24"/>
        </w:rPr>
      </w:pPr>
      <w:r w:rsidRPr="00583657">
        <w:rPr>
          <w:i/>
          <w:sz w:val="18"/>
          <w:szCs w:val="24"/>
        </w:rPr>
        <w:t>If the proposed modification is determined to be a Material Modification, Applicant may either withdraw the proposed modification or proceed with a new Interconnection Request for such modification.</w:t>
      </w:r>
    </w:p>
    <w:p w14:paraId="7C804CAC" w14:textId="77777777"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p>
    <w:p w14:paraId="610A6FCC" w14:textId="77777777" w:rsidR="00A01943" w:rsidRPr="00583657" w:rsidRDefault="00A01943" w:rsidP="00A01943">
      <w:pPr>
        <w:pStyle w:val="m-8088054778943683726m-2267498420393465527msolistparagraph"/>
        <w:shd w:val="clear" w:color="auto" w:fill="FFFFFF"/>
        <w:spacing w:before="0" w:beforeAutospacing="0"/>
        <w:jc w:val="both"/>
        <w:rPr>
          <w:rFonts w:asciiTheme="minorHAnsi" w:hAnsiTheme="minorHAnsi" w:cstheme="minorHAnsi"/>
          <w:bCs/>
          <w:color w:val="000000"/>
          <w:sz w:val="18"/>
        </w:rPr>
      </w:pPr>
      <w:r w:rsidRPr="00583657">
        <w:rPr>
          <w:rFonts w:asciiTheme="minorHAnsi" w:hAnsiTheme="minorHAnsi" w:cstheme="minorHAnsi"/>
          <w:bCs/>
          <w:color w:val="000000"/>
          <w:sz w:val="18"/>
        </w:rPr>
        <w:t xml:space="preserve">The purpose of </w:t>
      </w:r>
      <w:proofErr w:type="gramStart"/>
      <w:r w:rsidRPr="00583657">
        <w:rPr>
          <w:rFonts w:asciiTheme="minorHAnsi" w:hAnsiTheme="minorHAnsi" w:cstheme="minorHAnsi"/>
          <w:bCs/>
          <w:color w:val="000000"/>
          <w:sz w:val="18"/>
        </w:rPr>
        <w:t>a behind</w:t>
      </w:r>
      <w:proofErr w:type="gramEnd"/>
      <w:r w:rsidRPr="00583657">
        <w:rPr>
          <w:rFonts w:asciiTheme="minorHAnsi" w:hAnsiTheme="minorHAnsi" w:cstheme="minorHAnsi"/>
          <w:bCs/>
          <w:color w:val="000000"/>
          <w:sz w:val="18"/>
        </w:rPr>
        <w:noBreakHyphen/>
        <w:t>the</w:t>
      </w:r>
      <w:r w:rsidRPr="00583657">
        <w:rPr>
          <w:rFonts w:asciiTheme="minorHAnsi" w:hAnsiTheme="minorHAnsi" w:cstheme="minorHAnsi"/>
          <w:bCs/>
          <w:color w:val="000000"/>
          <w:sz w:val="18"/>
        </w:rPr>
        <w:noBreakHyphen/>
        <w:t xml:space="preserve">meter storage in most cases is to reduce demand charges, increase </w:t>
      </w:r>
      <w:r w:rsidRPr="00583657">
        <w:rPr>
          <w:rFonts w:asciiTheme="minorHAnsi" w:hAnsiTheme="minorHAnsi" w:cstheme="minorHAnsi"/>
          <w:bCs/>
          <w:noProof/>
          <w:color w:val="000000"/>
          <w:sz w:val="18"/>
        </w:rPr>
        <w:t>self</w:t>
      </w:r>
      <w:r w:rsidRPr="00583657">
        <w:rPr>
          <w:rFonts w:asciiTheme="minorHAnsi" w:hAnsiTheme="minorHAnsi" w:cstheme="minorHAnsi"/>
          <w:bCs/>
          <w:noProof/>
          <w:color w:val="000000"/>
          <w:sz w:val="18"/>
        </w:rPr>
        <w:noBreakHyphen/>
        <w:t>generation</w:t>
      </w:r>
      <w:r w:rsidRPr="00583657">
        <w:rPr>
          <w:rFonts w:asciiTheme="minorHAnsi" w:hAnsiTheme="minorHAnsi" w:cstheme="minorHAnsi"/>
          <w:bCs/>
          <w:color w:val="000000"/>
          <w:sz w:val="18"/>
        </w:rPr>
        <w:t xml:space="preserve"> and other customer bill benefits. Therefore, retrofitting energy storage to a PV installation typically does not add to the site’s peak load, such as defined as Operational Mode 2 in the Rule 21 definitions. </w:t>
      </w:r>
      <w:bookmarkStart w:id="25" w:name="_Ref499096681"/>
      <w:r w:rsidRPr="00583657">
        <w:rPr>
          <w:rFonts w:asciiTheme="minorHAnsi" w:hAnsiTheme="minorHAnsi" w:cstheme="minorHAnsi"/>
          <w:sz w:val="18"/>
          <w:vertAlign w:val="superscript"/>
        </w:rPr>
        <w:footnoteReference w:id="8"/>
      </w:r>
      <w:bookmarkEnd w:id="25"/>
      <w:r w:rsidRPr="00583657">
        <w:rPr>
          <w:rFonts w:asciiTheme="minorHAnsi" w:hAnsiTheme="minorHAnsi" w:cstheme="minorHAnsi"/>
          <w:bCs/>
          <w:color w:val="000000"/>
          <w:sz w:val="18"/>
        </w:rPr>
        <w:t xml:space="preserve"> In addition, by charging energy storage from local generation reduces export to the </w:t>
      </w:r>
      <w:proofErr w:type="gramStart"/>
      <w:r w:rsidRPr="00583657">
        <w:rPr>
          <w:rFonts w:asciiTheme="minorHAnsi" w:hAnsiTheme="minorHAnsi" w:cstheme="minorHAnsi"/>
          <w:bCs/>
          <w:color w:val="000000"/>
          <w:sz w:val="18"/>
        </w:rPr>
        <w:t>grid which</w:t>
      </w:r>
      <w:proofErr w:type="gramEnd"/>
      <w:r w:rsidRPr="00583657">
        <w:rPr>
          <w:rFonts w:asciiTheme="minorHAnsi" w:hAnsiTheme="minorHAnsi" w:cstheme="minorHAnsi"/>
          <w:bCs/>
          <w:color w:val="000000"/>
          <w:sz w:val="18"/>
        </w:rPr>
        <w:t xml:space="preserve"> generally increases hosting capacity. Therefore, the operating profile rather than additive nameplate ratings are important when considering a material modification. The buffering of the draw and export from and to the grid by energy storage is </w:t>
      </w:r>
      <w:r w:rsidRPr="00583657">
        <w:rPr>
          <w:rFonts w:asciiTheme="minorHAnsi" w:hAnsiTheme="minorHAnsi" w:cstheme="minorHAnsi"/>
          <w:bCs/>
          <w:noProof/>
          <w:color w:val="000000"/>
          <w:sz w:val="18"/>
        </w:rPr>
        <w:t>favorable</w:t>
      </w:r>
      <w:r w:rsidRPr="00583657">
        <w:rPr>
          <w:rFonts w:asciiTheme="minorHAnsi" w:hAnsiTheme="minorHAnsi" w:cstheme="minorHAnsi"/>
          <w:bCs/>
          <w:color w:val="000000"/>
          <w:sz w:val="18"/>
        </w:rPr>
        <w:t xml:space="preserve"> compared to a previous solar PV only configuration. Therefore, to block, add cost or slow down a modification that can assist the grid is not desirable to get the best outcome for all ratepayers.  </w:t>
      </w:r>
    </w:p>
    <w:p w14:paraId="686FD4FA" w14:textId="77777777" w:rsidR="00A01943" w:rsidRPr="00583657" w:rsidRDefault="00A01943" w:rsidP="00A01943">
      <w:pPr>
        <w:pStyle w:val="m-8088054778943683726m-2267498420393465527msolistparagraph"/>
        <w:shd w:val="clear" w:color="auto" w:fill="FFFFFF"/>
        <w:spacing w:before="0" w:beforeAutospacing="0"/>
        <w:rPr>
          <w:rFonts w:asciiTheme="minorHAnsi" w:hAnsiTheme="minorHAnsi" w:cstheme="minorHAnsi"/>
          <w:b/>
          <w:bCs/>
          <w:color w:val="000000"/>
          <w:sz w:val="18"/>
        </w:rPr>
      </w:pPr>
      <w:r w:rsidRPr="00583657">
        <w:rPr>
          <w:rFonts w:asciiTheme="minorHAnsi" w:hAnsiTheme="minorHAnsi" w:cstheme="minorHAnsi"/>
          <w:b/>
          <w:bCs/>
          <w:color w:val="000000"/>
          <w:sz w:val="18"/>
        </w:rPr>
        <w:t>Questions that may assist progress</w:t>
      </w:r>
    </w:p>
    <w:p w14:paraId="70CA987F" w14:textId="77777777"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What is the cost threshold used in determining Material Modification?</w:t>
      </w:r>
    </w:p>
    <w:p w14:paraId="30B57C86" w14:textId="27494210"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What is the time threshold used in determining Material Modification?</w:t>
      </w:r>
    </w:p>
    <w:p w14:paraId="15FA4E92" w14:textId="07E4F376"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Is operating profile considered or is additive nameplate considered when assessing size?</w:t>
      </w:r>
    </w:p>
    <w:p w14:paraId="3EA50677" w14:textId="77777777" w:rsidR="00A01943" w:rsidRPr="00583657" w:rsidRDefault="00A01943" w:rsidP="00A01943">
      <w:pPr>
        <w:pStyle w:val="m-8088054778943683726m-2267498420393465527msolistparagraph"/>
        <w:shd w:val="clear" w:color="auto" w:fill="FFFFFF"/>
        <w:spacing w:before="0" w:beforeAutospacing="0" w:after="0" w:afterAutospacing="0"/>
        <w:rPr>
          <w:rFonts w:asciiTheme="minorHAnsi" w:hAnsiTheme="minorHAnsi" w:cstheme="minorHAnsi"/>
          <w:bCs/>
          <w:color w:val="000000"/>
          <w:sz w:val="18"/>
        </w:rPr>
      </w:pPr>
      <w:r w:rsidRPr="00583657">
        <w:rPr>
          <w:rFonts w:asciiTheme="minorHAnsi" w:hAnsiTheme="minorHAnsi" w:cstheme="minorHAnsi"/>
          <w:bCs/>
          <w:color w:val="000000"/>
          <w:sz w:val="18"/>
        </w:rPr>
        <w:t>Some specific Scenarios:</w:t>
      </w:r>
    </w:p>
    <w:p w14:paraId="5BF5CB63"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bCs/>
          <w:color w:val="000000"/>
          <w:sz w:val="18"/>
        </w:rPr>
        <w:t>Does retrofitting a 10kW energy storage system to an existing 10kW PV system constitute a material modification?</w:t>
      </w:r>
    </w:p>
    <w:p w14:paraId="7F886BBA"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bCs/>
          <w:color w:val="000000"/>
          <w:sz w:val="18"/>
        </w:rPr>
        <w:t>Does retrofitting a 10kW energy storage system, that adheres to operation mode 2</w:t>
      </w:r>
      <w:r w:rsidRPr="00583657">
        <w:rPr>
          <w:rFonts w:asciiTheme="minorHAnsi" w:hAnsiTheme="minorHAnsi" w:cstheme="minorHAnsi"/>
          <w:bCs/>
          <w:color w:val="000000"/>
          <w:sz w:val="18"/>
          <w:vertAlign w:val="superscript"/>
        </w:rPr>
        <w:fldChar w:fldCharType="begin"/>
      </w:r>
      <w:r w:rsidRPr="00583657">
        <w:rPr>
          <w:rFonts w:asciiTheme="minorHAnsi" w:hAnsiTheme="minorHAnsi" w:cstheme="minorHAnsi"/>
          <w:bCs/>
          <w:color w:val="000000"/>
          <w:sz w:val="18"/>
          <w:vertAlign w:val="superscript"/>
        </w:rPr>
        <w:instrText xml:space="preserve"> NOTEREF _Ref499096681 \h  \* MERGEFORMAT </w:instrText>
      </w:r>
      <w:r w:rsidRPr="00583657">
        <w:rPr>
          <w:rFonts w:asciiTheme="minorHAnsi" w:hAnsiTheme="minorHAnsi" w:cstheme="minorHAnsi"/>
          <w:bCs/>
          <w:color w:val="000000"/>
          <w:sz w:val="18"/>
          <w:vertAlign w:val="superscript"/>
        </w:rPr>
      </w:r>
      <w:r w:rsidRPr="00583657">
        <w:rPr>
          <w:rFonts w:asciiTheme="minorHAnsi" w:hAnsiTheme="minorHAnsi" w:cstheme="minorHAnsi"/>
          <w:bCs/>
          <w:color w:val="000000"/>
          <w:sz w:val="18"/>
          <w:vertAlign w:val="superscript"/>
        </w:rPr>
        <w:fldChar w:fldCharType="separate"/>
      </w:r>
      <w:r w:rsidRPr="00583657">
        <w:rPr>
          <w:rFonts w:asciiTheme="minorHAnsi" w:hAnsiTheme="minorHAnsi" w:cstheme="minorHAnsi"/>
          <w:bCs/>
          <w:color w:val="000000"/>
          <w:sz w:val="18"/>
          <w:vertAlign w:val="superscript"/>
        </w:rPr>
        <w:t>2</w:t>
      </w:r>
      <w:r w:rsidRPr="00583657">
        <w:rPr>
          <w:rFonts w:asciiTheme="minorHAnsi" w:hAnsiTheme="minorHAnsi" w:cstheme="minorHAnsi"/>
          <w:bCs/>
          <w:color w:val="000000"/>
          <w:sz w:val="18"/>
          <w:vertAlign w:val="superscript"/>
        </w:rPr>
        <w:fldChar w:fldCharType="end"/>
      </w:r>
      <w:r w:rsidRPr="00583657">
        <w:rPr>
          <w:rFonts w:asciiTheme="minorHAnsi" w:hAnsiTheme="minorHAnsi" w:cstheme="minorHAnsi"/>
          <w:bCs/>
          <w:color w:val="000000"/>
          <w:sz w:val="18"/>
        </w:rPr>
        <w:t>, to an existing 10kW PV system constitute a material modification?</w:t>
      </w:r>
    </w:p>
    <w:p w14:paraId="2F99CBD0"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bCs/>
          <w:color w:val="000000"/>
          <w:sz w:val="18"/>
        </w:rPr>
        <w:t>Does increasing the amount/capacity of solar panels behind an existing inverter constitute a material modification?</w:t>
      </w:r>
    </w:p>
    <w:p w14:paraId="3A2CAD2D"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sz w:val="18"/>
        </w:rPr>
        <w:t>Does a NEM 1 solar system transition to NEM 2 if a non-material modification is made?</w:t>
      </w:r>
    </w:p>
    <w:p w14:paraId="5EFC5D2E" w14:textId="77777777" w:rsidR="00A01943" w:rsidRPr="00583657" w:rsidRDefault="00A01943" w:rsidP="00A01943">
      <w:pPr>
        <w:pStyle w:val="m-8088054778943683726m-2267498420393465527msolistparagraph"/>
        <w:numPr>
          <w:ilvl w:val="0"/>
          <w:numId w:val="32"/>
        </w:numPr>
        <w:shd w:val="clear" w:color="auto" w:fill="FFFFFF"/>
        <w:spacing w:before="0" w:beforeAutospacing="0"/>
        <w:rPr>
          <w:rFonts w:asciiTheme="minorHAnsi" w:hAnsiTheme="minorHAnsi" w:cstheme="minorHAnsi"/>
          <w:bCs/>
          <w:color w:val="000000"/>
          <w:sz w:val="18"/>
        </w:rPr>
      </w:pPr>
      <w:r w:rsidRPr="00583657">
        <w:rPr>
          <w:rFonts w:asciiTheme="minorHAnsi" w:hAnsiTheme="minorHAnsi" w:cstheme="minorHAnsi"/>
          <w:sz w:val="18"/>
        </w:rPr>
        <w:t>Does a NEM 1 solar system transition to NEM 2 if a material modification is made?</w:t>
      </w:r>
    </w:p>
    <w:p w14:paraId="128F92A4" w14:textId="77777777" w:rsidR="00A01943" w:rsidRPr="00583657" w:rsidRDefault="00A01943" w:rsidP="00A01943">
      <w:pPr>
        <w:spacing w:after="160" w:line="259" w:lineRule="auto"/>
        <w:rPr>
          <w:rFonts w:asciiTheme="minorHAnsi" w:hAnsiTheme="minorHAnsi" w:cstheme="minorHAnsi"/>
          <w:color w:val="002060"/>
          <w:sz w:val="18"/>
          <w:szCs w:val="24"/>
        </w:rPr>
      </w:pPr>
      <w:r w:rsidRPr="00583657">
        <w:rPr>
          <w:rFonts w:asciiTheme="minorHAnsi" w:hAnsiTheme="minorHAnsi" w:cstheme="minorHAnsi"/>
          <w:b/>
          <w:sz w:val="18"/>
          <w:szCs w:val="24"/>
        </w:rPr>
        <w:t>Goal</w:t>
      </w:r>
    </w:p>
    <w:p w14:paraId="28F96AC2" w14:textId="77777777" w:rsidR="00A01943" w:rsidRPr="00583657" w:rsidRDefault="00A01943" w:rsidP="00A01943">
      <w:pPr>
        <w:pStyle w:val="m-8088054778943683726m-2267498420393465527msolistparagraph"/>
        <w:numPr>
          <w:ilvl w:val="0"/>
          <w:numId w:val="31"/>
        </w:numPr>
        <w:shd w:val="clear" w:color="auto" w:fill="FFFFFF"/>
        <w:spacing w:before="0" w:beforeAutospacing="0"/>
        <w:jc w:val="both"/>
        <w:rPr>
          <w:rFonts w:asciiTheme="minorHAnsi" w:hAnsiTheme="minorHAnsi" w:cstheme="minorHAnsi"/>
          <w:bCs/>
          <w:color w:val="000000"/>
          <w:sz w:val="18"/>
        </w:rPr>
      </w:pPr>
      <w:r w:rsidRPr="00583657">
        <w:rPr>
          <w:rFonts w:asciiTheme="minorHAnsi" w:hAnsiTheme="minorHAnsi" w:cstheme="minorHAnsi"/>
          <w:bCs/>
          <w:color w:val="000000"/>
          <w:sz w:val="18"/>
        </w:rPr>
        <w:t>Develop a standard definition for material modification that includes appropriate thresholds (time, cost and/or change in capacity) to offer guidance to the market and allow consistency. These should be appropriate with respect to potential grid impacts.</w:t>
      </w:r>
    </w:p>
    <w:p w14:paraId="03814B67" w14:textId="77777777" w:rsidR="00A01943" w:rsidRPr="00583657" w:rsidRDefault="00A01943" w:rsidP="00A01943">
      <w:pPr>
        <w:pStyle w:val="m-8088054778943683726m-2267498420393465527msolistparagraph"/>
        <w:numPr>
          <w:ilvl w:val="0"/>
          <w:numId w:val="31"/>
        </w:numPr>
        <w:shd w:val="clear" w:color="auto" w:fill="FFFFFF"/>
        <w:spacing w:before="0" w:beforeAutospacing="0"/>
        <w:jc w:val="both"/>
        <w:rPr>
          <w:rFonts w:asciiTheme="minorHAnsi" w:hAnsiTheme="minorHAnsi" w:cstheme="minorHAnsi"/>
          <w:bCs/>
          <w:color w:val="000000"/>
          <w:sz w:val="18"/>
        </w:rPr>
      </w:pPr>
      <w:r w:rsidRPr="00583657">
        <w:rPr>
          <w:rFonts w:asciiTheme="minorHAnsi" w:hAnsiTheme="minorHAnsi" w:cstheme="minorHAnsi"/>
          <w:bCs/>
          <w:color w:val="000000"/>
          <w:sz w:val="18"/>
        </w:rPr>
        <w:t xml:space="preserve">Clarify the operating profile is considered rather than </w:t>
      </w:r>
      <w:proofErr w:type="gramStart"/>
      <w:r w:rsidRPr="00583657">
        <w:rPr>
          <w:rFonts w:asciiTheme="minorHAnsi" w:hAnsiTheme="minorHAnsi" w:cstheme="minorHAnsi"/>
          <w:bCs/>
          <w:color w:val="000000"/>
          <w:sz w:val="18"/>
        </w:rPr>
        <w:t>an</w:t>
      </w:r>
      <w:proofErr w:type="gramEnd"/>
      <w:r w:rsidRPr="00583657">
        <w:rPr>
          <w:rFonts w:asciiTheme="minorHAnsi" w:hAnsiTheme="minorHAnsi" w:cstheme="minorHAnsi"/>
          <w:bCs/>
          <w:color w:val="000000"/>
          <w:sz w:val="18"/>
        </w:rPr>
        <w:t xml:space="preserve"> just additive nameplate capacity approach which is likely inappropriate.</w:t>
      </w:r>
    </w:p>
    <w:p w14:paraId="1236675E" w14:textId="77777777" w:rsidR="00A01943" w:rsidRPr="00583657" w:rsidRDefault="00A01943" w:rsidP="00A01943">
      <w:pPr>
        <w:pStyle w:val="m-8088054778943683726m-2267498420393465527msolistparagraph"/>
        <w:numPr>
          <w:ilvl w:val="0"/>
          <w:numId w:val="31"/>
        </w:numPr>
        <w:shd w:val="clear" w:color="auto" w:fill="FFFFFF"/>
        <w:jc w:val="both"/>
        <w:rPr>
          <w:rFonts w:asciiTheme="minorHAnsi" w:hAnsiTheme="minorHAnsi" w:cstheme="minorHAnsi"/>
          <w:bCs/>
          <w:color w:val="000000"/>
          <w:sz w:val="18"/>
        </w:rPr>
      </w:pPr>
      <w:r w:rsidRPr="00583657">
        <w:rPr>
          <w:rFonts w:asciiTheme="minorHAnsi" w:hAnsiTheme="minorHAnsi" w:cstheme="minorHAnsi"/>
          <w:bCs/>
          <w:color w:val="000000"/>
          <w:sz w:val="18"/>
        </w:rPr>
        <w:t xml:space="preserve">Clarify or establish that retrofitting existing PV facilities with energy storage does not constitute a material modification unless it changes the impact on the grid beyond a defined threshold. </w:t>
      </w:r>
      <w:proofErr w:type="gramStart"/>
      <w:r w:rsidRPr="00583657">
        <w:rPr>
          <w:rFonts w:asciiTheme="minorHAnsi" w:hAnsiTheme="minorHAnsi" w:cstheme="minorHAnsi"/>
          <w:bCs/>
          <w:color w:val="000000"/>
          <w:sz w:val="18"/>
        </w:rPr>
        <w:t>i</w:t>
      </w:r>
      <w:proofErr w:type="gramEnd"/>
      <w:r w:rsidRPr="00583657">
        <w:rPr>
          <w:rFonts w:asciiTheme="minorHAnsi" w:hAnsiTheme="minorHAnsi" w:cstheme="minorHAnsi"/>
          <w:bCs/>
          <w:color w:val="000000"/>
          <w:sz w:val="18"/>
        </w:rPr>
        <w:t>.e. increases export or peak by more than (x) %.</w:t>
      </w:r>
    </w:p>
    <w:p w14:paraId="4C28366C" w14:textId="77777777" w:rsidR="00A01943" w:rsidRPr="00583657" w:rsidRDefault="00A01943" w:rsidP="00A01943">
      <w:pPr>
        <w:pStyle w:val="m-8088054778943683726m-2267498420393465527msolistparagraph"/>
        <w:numPr>
          <w:ilvl w:val="0"/>
          <w:numId w:val="31"/>
        </w:numPr>
        <w:shd w:val="clear" w:color="auto" w:fill="FFFFFF"/>
        <w:jc w:val="both"/>
        <w:rPr>
          <w:rFonts w:asciiTheme="minorHAnsi" w:hAnsiTheme="minorHAnsi" w:cstheme="minorHAnsi"/>
          <w:bCs/>
          <w:color w:val="000000"/>
          <w:sz w:val="18"/>
        </w:rPr>
      </w:pPr>
      <w:r w:rsidRPr="00583657">
        <w:rPr>
          <w:rFonts w:asciiTheme="minorHAnsi" w:hAnsiTheme="minorHAnsi" w:cstheme="minorHAnsi"/>
          <w:bCs/>
          <w:color w:val="000000"/>
          <w:sz w:val="18"/>
        </w:rPr>
        <w:t>In addition to a general definition, defining if some common examples are a material modification would be useful for the market.</w:t>
      </w:r>
    </w:p>
    <w:p w14:paraId="195F9B5E" w14:textId="77777777" w:rsidR="008F1141" w:rsidRDefault="008F1141">
      <w:pPr>
        <w:rPr>
          <w:rFonts w:asciiTheme="minorHAnsi" w:hAnsiTheme="minorHAnsi"/>
          <w:color w:val="000000"/>
        </w:rPr>
      </w:pPr>
    </w:p>
    <w:p w14:paraId="7FA7B378" w14:textId="77777777" w:rsidR="00A01943" w:rsidRDefault="00A01943">
      <w:pPr>
        <w:rPr>
          <w:rFonts w:asciiTheme="minorHAnsi" w:hAnsiTheme="minorHAnsi"/>
          <w:color w:val="000000"/>
        </w:rPr>
      </w:pPr>
    </w:p>
    <w:p w14:paraId="2530A17B" w14:textId="77777777" w:rsidR="00A01943" w:rsidRDefault="00A01943">
      <w:pPr>
        <w:spacing w:after="200" w:line="276" w:lineRule="auto"/>
        <w:rPr>
          <w:rFonts w:asciiTheme="minorHAnsi" w:hAnsiTheme="minorHAnsi"/>
          <w:color w:val="000000"/>
        </w:rPr>
      </w:pPr>
      <w:r>
        <w:rPr>
          <w:rFonts w:asciiTheme="minorHAnsi" w:hAnsiTheme="minorHAnsi"/>
          <w:color w:val="000000"/>
        </w:rPr>
        <w:br w:type="page"/>
      </w:r>
    </w:p>
    <w:p w14:paraId="4B2F6FF0" w14:textId="17374B7F" w:rsidR="00AC5885" w:rsidRDefault="00AC5885" w:rsidP="00AC5885">
      <w:pPr>
        <w:jc w:val="center"/>
        <w:rPr>
          <w:rFonts w:asciiTheme="majorHAnsi" w:hAnsiTheme="majorHAnsi"/>
          <w:b/>
          <w:color w:val="000000"/>
        </w:rPr>
      </w:pPr>
      <w:r w:rsidRPr="00F72317">
        <w:rPr>
          <w:rFonts w:asciiTheme="majorHAnsi" w:hAnsiTheme="majorHAnsi"/>
          <w:b/>
          <w:color w:val="000000"/>
        </w:rPr>
        <w:lastRenderedPageBreak/>
        <w:t xml:space="preserve">Appendix </w:t>
      </w:r>
      <w:r>
        <w:rPr>
          <w:rFonts w:asciiTheme="majorHAnsi" w:hAnsiTheme="majorHAnsi"/>
          <w:b/>
          <w:color w:val="000000"/>
        </w:rPr>
        <w:t>C</w:t>
      </w:r>
      <w:r w:rsidRPr="00F72317">
        <w:rPr>
          <w:rFonts w:asciiTheme="majorHAnsi" w:hAnsiTheme="majorHAnsi"/>
          <w:b/>
          <w:color w:val="000000"/>
        </w:rPr>
        <w:t xml:space="preserve">: </w:t>
      </w:r>
      <w:r>
        <w:rPr>
          <w:rFonts w:asciiTheme="majorHAnsi" w:hAnsiTheme="majorHAnsi"/>
          <w:b/>
          <w:color w:val="000000"/>
        </w:rPr>
        <w:t>Utility Discussion on Material Modification</w:t>
      </w:r>
    </w:p>
    <w:p w14:paraId="185D1997" w14:textId="77777777" w:rsidR="00AC5885" w:rsidRDefault="00AC5885" w:rsidP="00AC5885">
      <w:pPr>
        <w:jc w:val="center"/>
        <w:rPr>
          <w:rFonts w:ascii="Times New Roman" w:hAnsi="Times New Roman"/>
          <w:b/>
          <w:sz w:val="20"/>
          <w:szCs w:val="28"/>
        </w:rPr>
      </w:pPr>
    </w:p>
    <w:p w14:paraId="133AFA3C" w14:textId="77777777" w:rsidR="00AC5885" w:rsidRPr="00AC5885" w:rsidRDefault="00AC5885" w:rsidP="00AC5885">
      <w:pPr>
        <w:jc w:val="center"/>
        <w:rPr>
          <w:rFonts w:ascii="Times New Roman" w:hAnsi="Times New Roman"/>
          <w:b/>
          <w:sz w:val="20"/>
          <w:szCs w:val="28"/>
        </w:rPr>
      </w:pPr>
      <w:r w:rsidRPr="00AC5885">
        <w:rPr>
          <w:rFonts w:ascii="Times New Roman" w:hAnsi="Times New Roman"/>
          <w:b/>
          <w:sz w:val="20"/>
          <w:szCs w:val="28"/>
        </w:rPr>
        <w:t xml:space="preserve">Utility Discussion Summary for Rule 21 Material Modification Allowances </w:t>
      </w:r>
    </w:p>
    <w:p w14:paraId="589E9255" w14:textId="77777777" w:rsidR="00AC5885" w:rsidRPr="00AC5885" w:rsidRDefault="00AC5885" w:rsidP="00AC5885">
      <w:pPr>
        <w:jc w:val="center"/>
        <w:rPr>
          <w:rFonts w:ascii="Times New Roman" w:hAnsi="Times New Roman"/>
          <w:b/>
          <w:sz w:val="20"/>
          <w:szCs w:val="28"/>
        </w:rPr>
      </w:pPr>
      <w:r w:rsidRPr="00AC5885">
        <w:rPr>
          <w:rFonts w:ascii="Times New Roman" w:hAnsi="Times New Roman"/>
          <w:b/>
          <w:sz w:val="20"/>
          <w:szCs w:val="28"/>
        </w:rPr>
        <w:t xml:space="preserve">Draft for Discussion Purposes Only and Subject to Additional Review and Management Approval </w:t>
      </w:r>
    </w:p>
    <w:p w14:paraId="5660AC1B" w14:textId="77777777" w:rsidR="00AC5885" w:rsidRPr="00AC5885" w:rsidRDefault="00AC5885" w:rsidP="00AC5885">
      <w:pPr>
        <w:jc w:val="center"/>
        <w:rPr>
          <w:rFonts w:ascii="Times New Roman" w:hAnsi="Times New Roman"/>
          <w:b/>
          <w:sz w:val="20"/>
          <w:szCs w:val="28"/>
        </w:rPr>
      </w:pPr>
      <w:r w:rsidRPr="00AC5885">
        <w:rPr>
          <w:rFonts w:ascii="Times New Roman" w:hAnsi="Times New Roman"/>
          <w:b/>
          <w:sz w:val="20"/>
          <w:szCs w:val="28"/>
        </w:rPr>
        <w:t xml:space="preserve">November 27, 2017 </w:t>
      </w:r>
    </w:p>
    <w:p w14:paraId="55B770DB" w14:textId="77777777" w:rsidR="00AC5885" w:rsidRPr="00AC5885" w:rsidRDefault="00AC5885" w:rsidP="00AC5885">
      <w:pPr>
        <w:jc w:val="center"/>
        <w:rPr>
          <w:rFonts w:ascii="Times New Roman" w:hAnsi="Times New Roman"/>
          <w:b/>
          <w:sz w:val="20"/>
          <w:szCs w:val="28"/>
        </w:rPr>
      </w:pPr>
    </w:p>
    <w:p w14:paraId="797174B8" w14:textId="77777777" w:rsidR="00AC5885" w:rsidRPr="00AC5885" w:rsidRDefault="00AC5885" w:rsidP="00AC5885">
      <w:pPr>
        <w:pStyle w:val="ListParagraph"/>
        <w:numPr>
          <w:ilvl w:val="0"/>
          <w:numId w:val="36"/>
        </w:numPr>
        <w:spacing w:after="160" w:line="259" w:lineRule="auto"/>
        <w:contextualSpacing/>
        <w:rPr>
          <w:rFonts w:ascii="Times New Roman" w:hAnsi="Times New Roman"/>
          <w:b/>
          <w:sz w:val="16"/>
          <w:szCs w:val="28"/>
        </w:rPr>
      </w:pPr>
      <w:r w:rsidRPr="00AC5885">
        <w:rPr>
          <w:rFonts w:ascii="Times New Roman" w:hAnsi="Times New Roman"/>
          <w:b/>
          <w:sz w:val="16"/>
          <w:szCs w:val="28"/>
        </w:rPr>
        <w:t>Material Modification Tariff Overview</w:t>
      </w:r>
    </w:p>
    <w:p w14:paraId="1097BE05" w14:textId="77777777"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b/>
          <w:sz w:val="16"/>
          <w:szCs w:val="28"/>
        </w:rPr>
        <w:t xml:space="preserve"> </w:t>
      </w:r>
    </w:p>
    <w:p w14:paraId="28616D01" w14:textId="3A5020A4"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sz w:val="16"/>
          <w:szCs w:val="28"/>
        </w:rPr>
        <w:t>In accordance with Section C of Rule 21 (Definitions), a “Material Modification” is defined as "</w:t>
      </w:r>
      <w:r w:rsidRPr="00AC5885">
        <w:rPr>
          <w:rFonts w:ascii="Times New Roman" w:hAnsi="Times New Roman"/>
          <w:b/>
          <w:i/>
          <w:sz w:val="16"/>
          <w:szCs w:val="28"/>
        </w:rPr>
        <w:t>[a modification] or modifications that have a material impact on cost or timing of an Interconnection Request with the same or later queue priority date or change in Point of Interconnection. A Material Modification does not include a change in ownership of a Generating Facility."</w:t>
      </w:r>
    </w:p>
    <w:p w14:paraId="3C9F9921" w14:textId="77777777" w:rsidR="00AC5885" w:rsidRPr="00AC5885" w:rsidRDefault="00AC5885" w:rsidP="00AC5885">
      <w:pPr>
        <w:pStyle w:val="ListParagraph"/>
        <w:ind w:left="1080"/>
        <w:rPr>
          <w:rFonts w:ascii="Times New Roman" w:hAnsi="Times New Roman"/>
          <w:sz w:val="16"/>
          <w:szCs w:val="28"/>
        </w:rPr>
      </w:pPr>
    </w:p>
    <w:p w14:paraId="51C251B1" w14:textId="2F0103D4"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sz w:val="16"/>
          <w:szCs w:val="28"/>
        </w:rPr>
        <w:t xml:space="preserve">In addition, R21 Section 3.b.v (“Modifications” under the Independent Study Process) and Section 3.c.vii (“Modifications” under the Distribution Group Study Process) state </w:t>
      </w:r>
      <w:r w:rsidRPr="00AC5885">
        <w:rPr>
          <w:rFonts w:ascii="Times New Roman" w:hAnsi="Times New Roman"/>
          <w:i/>
          <w:sz w:val="16"/>
          <w:szCs w:val="28"/>
        </w:rPr>
        <w:t>“[</w:t>
      </w:r>
      <w:proofErr w:type="gramStart"/>
      <w:r w:rsidRPr="00AC5885">
        <w:rPr>
          <w:rFonts w:ascii="Times New Roman" w:hAnsi="Times New Roman"/>
          <w:i/>
          <w:sz w:val="16"/>
          <w:szCs w:val="28"/>
        </w:rPr>
        <w:t>a]</w:t>
      </w:r>
      <w:proofErr w:type="spellStart"/>
      <w:r w:rsidRPr="00AC5885">
        <w:rPr>
          <w:rFonts w:ascii="Times New Roman" w:hAnsi="Times New Roman"/>
          <w:i/>
          <w:sz w:val="16"/>
          <w:szCs w:val="28"/>
        </w:rPr>
        <w:t>ny</w:t>
      </w:r>
      <w:proofErr w:type="spellEnd"/>
      <w:proofErr w:type="gramEnd"/>
      <w:r w:rsidRPr="00AC5885">
        <w:rPr>
          <w:rFonts w:ascii="Times New Roman" w:hAnsi="Times New Roman"/>
          <w:i/>
          <w:sz w:val="16"/>
          <w:szCs w:val="28"/>
        </w:rPr>
        <w:t xml:space="preserve"> change to the Point of Interconnection, except for that specified by Distribution Provider in an Interconnection Study or otherwise allowed under this Section F.3.b.v [or Section F.3.c.vii, respectively], shall constitute a Material Modification.”</w:t>
      </w:r>
    </w:p>
    <w:p w14:paraId="26C4D0D0" w14:textId="77777777" w:rsidR="00AC5885" w:rsidRPr="00AC5885" w:rsidRDefault="00AC5885" w:rsidP="00AC5885">
      <w:pPr>
        <w:pStyle w:val="ListParagraph"/>
        <w:ind w:left="1080"/>
        <w:rPr>
          <w:rFonts w:ascii="Times New Roman" w:hAnsi="Times New Roman"/>
          <w:sz w:val="16"/>
          <w:szCs w:val="28"/>
        </w:rPr>
      </w:pPr>
    </w:p>
    <w:p w14:paraId="678B8969" w14:textId="77777777" w:rsidR="00AC5885" w:rsidRPr="00AC5885" w:rsidRDefault="00AC5885" w:rsidP="00AC5885">
      <w:pPr>
        <w:pStyle w:val="ListParagraph"/>
        <w:ind w:left="1080"/>
        <w:rPr>
          <w:rFonts w:ascii="Times New Roman" w:hAnsi="Times New Roman"/>
          <w:bCs/>
          <w:position w:val="1"/>
          <w:sz w:val="16"/>
          <w:szCs w:val="28"/>
        </w:rPr>
      </w:pPr>
    </w:p>
    <w:p w14:paraId="6F2376C8" w14:textId="77777777" w:rsidR="00AC5885" w:rsidRPr="00AC5885" w:rsidRDefault="00AC5885" w:rsidP="00AC5885">
      <w:pPr>
        <w:pStyle w:val="ListParagraph"/>
        <w:numPr>
          <w:ilvl w:val="0"/>
          <w:numId w:val="36"/>
        </w:numPr>
        <w:spacing w:after="160" w:line="259" w:lineRule="auto"/>
        <w:contextualSpacing/>
        <w:rPr>
          <w:rFonts w:ascii="Times New Roman" w:hAnsi="Times New Roman"/>
          <w:b/>
          <w:sz w:val="16"/>
          <w:szCs w:val="28"/>
        </w:rPr>
      </w:pPr>
      <w:r w:rsidRPr="00AC5885">
        <w:rPr>
          <w:rFonts w:ascii="Times New Roman" w:hAnsi="Times New Roman"/>
          <w:b/>
          <w:sz w:val="16"/>
          <w:szCs w:val="28"/>
        </w:rPr>
        <w:t xml:space="preserve">Working Group Issue Presented </w:t>
      </w:r>
    </w:p>
    <w:p w14:paraId="3E90B73D" w14:textId="77777777"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b/>
          <w:sz w:val="16"/>
          <w:szCs w:val="28"/>
        </w:rPr>
        <w:t xml:space="preserve"> </w:t>
      </w:r>
    </w:p>
    <w:p w14:paraId="50D27E3E" w14:textId="77777777" w:rsidR="00AC5885" w:rsidRPr="00AC5885" w:rsidRDefault="00AC5885" w:rsidP="00AC5885">
      <w:pPr>
        <w:pStyle w:val="ListParagraph"/>
        <w:ind w:left="1080"/>
        <w:rPr>
          <w:rFonts w:ascii="Times New Roman" w:hAnsi="Times New Roman"/>
          <w:b/>
          <w:i/>
          <w:sz w:val="16"/>
          <w:szCs w:val="28"/>
        </w:rPr>
      </w:pPr>
      <w:r w:rsidRPr="00AC5885">
        <w:rPr>
          <w:rFonts w:ascii="Times New Roman" w:hAnsi="Times New Roman"/>
          <w:b/>
          <w:i/>
          <w:sz w:val="16"/>
          <w:szCs w:val="28"/>
        </w:rPr>
        <w:t>How should the Commission clarify the definition of a “material modification” to a project and what should be the procedures for processing these modifications?)</w:t>
      </w:r>
    </w:p>
    <w:p w14:paraId="3641FD9F" w14:textId="77777777" w:rsidR="00AC5885" w:rsidRPr="00AC5885" w:rsidRDefault="00AC5885" w:rsidP="00AC5885">
      <w:pPr>
        <w:pStyle w:val="ListParagraph"/>
        <w:ind w:left="1080"/>
        <w:rPr>
          <w:rFonts w:ascii="Times New Roman" w:hAnsi="Times New Roman"/>
          <w:b/>
          <w:i/>
          <w:sz w:val="16"/>
          <w:szCs w:val="28"/>
        </w:rPr>
      </w:pPr>
    </w:p>
    <w:p w14:paraId="1CAB8239" w14:textId="77777777"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b/>
          <w:sz w:val="16"/>
          <w:szCs w:val="28"/>
        </w:rPr>
        <w:t>A</w:t>
      </w:r>
      <w:r w:rsidRPr="00AC5885">
        <w:rPr>
          <w:rFonts w:ascii="Times New Roman" w:hAnsi="Times New Roman"/>
          <w:b/>
          <w:i/>
          <w:sz w:val="16"/>
          <w:szCs w:val="28"/>
        </w:rPr>
        <w:t xml:space="preserve">. </w:t>
      </w:r>
      <w:r w:rsidRPr="00AC5885">
        <w:rPr>
          <w:rFonts w:ascii="Times New Roman" w:hAnsi="Times New Roman"/>
          <w:b/>
          <w:sz w:val="16"/>
          <w:szCs w:val="28"/>
        </w:rPr>
        <w:t>Pre-Interconnection Agreement Execution Project Modifications</w:t>
      </w:r>
      <w:r w:rsidRPr="00AC5885">
        <w:rPr>
          <w:rFonts w:ascii="Times New Roman" w:hAnsi="Times New Roman"/>
          <w:sz w:val="16"/>
          <w:szCs w:val="28"/>
        </w:rPr>
        <w:t xml:space="preserve"> </w:t>
      </w:r>
    </w:p>
    <w:p w14:paraId="7AAF86CA" w14:textId="77777777" w:rsidR="00AC5885" w:rsidRPr="00AC5885" w:rsidRDefault="00AC5885" w:rsidP="00AC5885">
      <w:pPr>
        <w:pStyle w:val="ListParagraph"/>
        <w:ind w:left="1080"/>
        <w:rPr>
          <w:rFonts w:ascii="Times New Roman" w:hAnsi="Times New Roman"/>
          <w:sz w:val="16"/>
          <w:szCs w:val="28"/>
        </w:rPr>
      </w:pPr>
    </w:p>
    <w:p w14:paraId="3AD2FB87" w14:textId="54FCA418"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sz w:val="16"/>
          <w:szCs w:val="28"/>
        </w:rPr>
        <w:t xml:space="preserve">R21 Section F.3.b.v. and Section F.3.c.vii </w:t>
      </w:r>
      <w:proofErr w:type="gramStart"/>
      <w:r w:rsidRPr="00AC5885">
        <w:rPr>
          <w:rFonts w:ascii="Times New Roman" w:hAnsi="Times New Roman"/>
          <w:sz w:val="16"/>
          <w:szCs w:val="28"/>
        </w:rPr>
        <w:t>recognize  that</w:t>
      </w:r>
      <w:proofErr w:type="gramEnd"/>
      <w:r w:rsidRPr="00AC5885">
        <w:rPr>
          <w:rFonts w:ascii="Times New Roman" w:hAnsi="Times New Roman"/>
          <w:sz w:val="16"/>
          <w:szCs w:val="28"/>
        </w:rPr>
        <w:t xml:space="preserve"> "[a]t any time during the course of Interconnection  Studies, Applicant, Distribution Provider, or the CAISO, as applicable, may identify changes to the planned Interconnection that may improve the costs and benefits (including reliability) of the Interconnection, and the ability of the proposed change to accommodate the Interconnection Request."  Both Sections of </w:t>
      </w:r>
      <w:r w:rsidRPr="00AC5885">
        <w:rPr>
          <w:rFonts w:ascii="Times New Roman" w:hAnsi="Times New Roman"/>
          <w:bCs/>
          <w:position w:val="1"/>
          <w:sz w:val="16"/>
          <w:szCs w:val="28"/>
        </w:rPr>
        <w:t xml:space="preserve">R21 further highlight that "project modifications including  project decreases, modification to technical parameters or interconnection figurations, are reviewed pursuant to the governing Material Modification definition of </w:t>
      </w:r>
      <w:r w:rsidRPr="00AC5885">
        <w:rPr>
          <w:rFonts w:ascii="Times New Roman" w:hAnsi="Times New Roman"/>
          <w:b/>
          <w:bCs/>
          <w:i/>
          <w:position w:val="1"/>
          <w:sz w:val="16"/>
          <w:szCs w:val="28"/>
        </w:rPr>
        <w:t>whether the proposed modification of the interconnection request has a material impact on the cost or timing of other projects either sharing or later within the interconnection queue</w:t>
      </w:r>
      <w:r w:rsidRPr="00AC5885">
        <w:rPr>
          <w:rFonts w:ascii="Times New Roman" w:hAnsi="Times New Roman"/>
          <w:bCs/>
          <w:position w:val="1"/>
          <w:sz w:val="16"/>
          <w:szCs w:val="28"/>
        </w:rPr>
        <w:t xml:space="preserve">.   </w:t>
      </w:r>
    </w:p>
    <w:p w14:paraId="4B084588" w14:textId="77777777" w:rsidR="00AC5885" w:rsidRPr="00AC5885" w:rsidRDefault="00AC5885" w:rsidP="00AC5885">
      <w:pPr>
        <w:pStyle w:val="ListParagraph"/>
        <w:ind w:left="1080"/>
        <w:rPr>
          <w:rFonts w:ascii="Times New Roman" w:hAnsi="Times New Roman"/>
          <w:bCs/>
          <w:position w:val="1"/>
          <w:sz w:val="16"/>
          <w:szCs w:val="28"/>
        </w:rPr>
      </w:pPr>
    </w:p>
    <w:p w14:paraId="176043EE" w14:textId="7B3022E1"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bCs/>
          <w:position w:val="1"/>
          <w:sz w:val="16"/>
          <w:szCs w:val="28"/>
        </w:rPr>
        <w:t xml:space="preserve">By way of further example, </w:t>
      </w:r>
      <w:r w:rsidRPr="00AC5885">
        <w:rPr>
          <w:rFonts w:ascii="Times New Roman" w:hAnsi="Times New Roman"/>
          <w:sz w:val="16"/>
          <w:szCs w:val="28"/>
        </w:rPr>
        <w:t xml:space="preserve">R21 Section F.3.b.v. and Section F.3.c.vii do allow for certain </w:t>
      </w:r>
      <w:proofErr w:type="gramStart"/>
      <w:r w:rsidRPr="00AC5885">
        <w:rPr>
          <w:rFonts w:ascii="Times New Roman" w:hAnsi="Times New Roman"/>
          <w:sz w:val="16"/>
          <w:szCs w:val="28"/>
        </w:rPr>
        <w:t>modifications which</w:t>
      </w:r>
      <w:proofErr w:type="gramEnd"/>
      <w:r w:rsidRPr="00AC5885">
        <w:rPr>
          <w:rFonts w:ascii="Times New Roman" w:hAnsi="Times New Roman"/>
          <w:sz w:val="16"/>
          <w:szCs w:val="28"/>
        </w:rPr>
        <w:t xml:space="preserve"> include decrease of electrical output, changes on technical parameters or changes to the project’s configuration.  However, any of these permitted changes, although not “</w:t>
      </w:r>
      <w:r w:rsidRPr="00AC5885">
        <w:rPr>
          <w:rFonts w:ascii="Times New Roman" w:hAnsi="Times New Roman"/>
          <w:i/>
          <w:sz w:val="16"/>
          <w:szCs w:val="28"/>
        </w:rPr>
        <w:t>material</w:t>
      </w:r>
      <w:r w:rsidRPr="00AC5885">
        <w:rPr>
          <w:rFonts w:ascii="Times New Roman" w:hAnsi="Times New Roman"/>
          <w:sz w:val="16"/>
          <w:szCs w:val="28"/>
        </w:rPr>
        <w:t xml:space="preserve">”, may require a review of the technical studies that have been performed for the project prior to the modification request. This review requires consent from the interconnection customer (following the utility’s proposed cost and schedule of the review) and commonly impacts the timing of the final interconnection agreement for the project to allow for utility review of the proposed change.  </w:t>
      </w:r>
      <w:r w:rsidRPr="00AC5885">
        <w:rPr>
          <w:rFonts w:ascii="Times New Roman" w:hAnsi="Times New Roman"/>
          <w:bCs/>
          <w:position w:val="1"/>
          <w:sz w:val="16"/>
          <w:szCs w:val="28"/>
        </w:rPr>
        <w:t xml:space="preserve">If the project’s project modification does rise to the level of a Material Modification, the Interconnection Customer is given an opportunity to decide whether to proceed with the project without the proposed modification or withdraw the interconnection request from the utility’s interconnection queue and submit a new interconnection request with the desired changes.  </w:t>
      </w:r>
    </w:p>
    <w:p w14:paraId="631ACCE9" w14:textId="77777777" w:rsidR="00AC5885" w:rsidRPr="00AC5885" w:rsidRDefault="00AC5885" w:rsidP="00AC5885">
      <w:pPr>
        <w:pStyle w:val="ListParagraph"/>
        <w:ind w:left="1080"/>
        <w:rPr>
          <w:rFonts w:ascii="Times New Roman" w:hAnsi="Times New Roman"/>
          <w:bCs/>
          <w:position w:val="1"/>
          <w:sz w:val="16"/>
          <w:szCs w:val="28"/>
        </w:rPr>
      </w:pPr>
    </w:p>
    <w:p w14:paraId="1634037A" w14:textId="00B6FCBD"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bCs/>
          <w:position w:val="1"/>
          <w:sz w:val="16"/>
          <w:szCs w:val="28"/>
        </w:rPr>
        <w:t xml:space="preserve">The concept of impact to another “later queued party” whether in cost or time has been utilized as a best practice in viewing whether a proposed project change can be accommodated within an Interconnection Applicant's existing application or whether a new application is warranted.  </w:t>
      </w:r>
    </w:p>
    <w:p w14:paraId="64762A52" w14:textId="77777777" w:rsidR="00AC5885" w:rsidRPr="00AC5885" w:rsidRDefault="00AC5885" w:rsidP="00AC5885">
      <w:pPr>
        <w:pStyle w:val="ListParagraph"/>
        <w:ind w:left="1080"/>
        <w:rPr>
          <w:rFonts w:ascii="Times New Roman" w:hAnsi="Times New Roman"/>
          <w:bCs/>
          <w:position w:val="1"/>
          <w:sz w:val="16"/>
          <w:szCs w:val="28"/>
        </w:rPr>
      </w:pPr>
    </w:p>
    <w:p w14:paraId="2442852D" w14:textId="070AA0D3" w:rsidR="00AC5885" w:rsidRPr="00AC5885" w:rsidRDefault="00AC5885" w:rsidP="00AC5885">
      <w:pPr>
        <w:pStyle w:val="ListParagraph"/>
        <w:ind w:left="1080"/>
        <w:rPr>
          <w:rFonts w:ascii="Times New Roman" w:hAnsi="Times New Roman"/>
          <w:bCs/>
          <w:position w:val="1"/>
          <w:sz w:val="16"/>
          <w:szCs w:val="28"/>
        </w:rPr>
      </w:pPr>
      <w:r w:rsidRPr="00AC5885">
        <w:rPr>
          <w:rFonts w:ascii="Times New Roman" w:hAnsi="Times New Roman"/>
          <w:bCs/>
          <w:position w:val="1"/>
          <w:sz w:val="16"/>
          <w:szCs w:val="28"/>
        </w:rPr>
        <w:t xml:space="preserve">Based on review of CESA's initial comments, stakeholders are requesting illustrative examples to support transparency regarding how modifications are addressed within the interconnection process, including how the IOU application of the material modification standard discussed above.  The IOUs look forward to working through these items with stakeholders and determine what, if any, R21 revisions may be appropriate as compared to additional stakeholder guidance. </w:t>
      </w:r>
    </w:p>
    <w:p w14:paraId="5A8D1236" w14:textId="77777777" w:rsidR="00AC5885" w:rsidRDefault="00AC5885" w:rsidP="00AC5885">
      <w:pPr>
        <w:pStyle w:val="ListParagraph"/>
        <w:ind w:left="1080"/>
        <w:rPr>
          <w:rFonts w:ascii="Times New Roman" w:hAnsi="Times New Roman"/>
          <w:sz w:val="16"/>
          <w:szCs w:val="28"/>
        </w:rPr>
      </w:pPr>
    </w:p>
    <w:p w14:paraId="26FBCCB7" w14:textId="6A6D7DF8" w:rsidR="00AC5885" w:rsidRPr="00AC5885" w:rsidRDefault="00AC5885" w:rsidP="00AC5885">
      <w:pPr>
        <w:pStyle w:val="ListParagraph"/>
        <w:ind w:left="1080"/>
        <w:rPr>
          <w:rFonts w:ascii="Times New Roman" w:hAnsi="Times New Roman"/>
          <w:sz w:val="16"/>
          <w:szCs w:val="28"/>
        </w:rPr>
      </w:pPr>
      <w:proofErr w:type="gramStart"/>
      <w:r>
        <w:rPr>
          <w:rFonts w:ascii="Times New Roman" w:hAnsi="Times New Roman"/>
          <w:b/>
          <w:sz w:val="16"/>
          <w:szCs w:val="28"/>
        </w:rPr>
        <w:t xml:space="preserve">B.  </w:t>
      </w:r>
      <w:r w:rsidRPr="00AC5885">
        <w:rPr>
          <w:rFonts w:ascii="Times New Roman" w:hAnsi="Times New Roman"/>
          <w:b/>
          <w:sz w:val="16"/>
          <w:szCs w:val="28"/>
        </w:rPr>
        <w:t>Post Interconnection</w:t>
      </w:r>
      <w:proofErr w:type="gramEnd"/>
      <w:r w:rsidRPr="00AC5885">
        <w:rPr>
          <w:rFonts w:ascii="Times New Roman" w:hAnsi="Times New Roman"/>
          <w:b/>
          <w:sz w:val="16"/>
          <w:szCs w:val="28"/>
        </w:rPr>
        <w:t xml:space="preserve"> Agreement Project Modifications </w:t>
      </w:r>
    </w:p>
    <w:p w14:paraId="24E95941" w14:textId="77777777" w:rsidR="00AC5885" w:rsidRPr="00AC5885" w:rsidRDefault="00AC5885" w:rsidP="00AC5885">
      <w:pPr>
        <w:pStyle w:val="ListParagraph"/>
        <w:ind w:left="1080"/>
        <w:rPr>
          <w:rFonts w:ascii="Times New Roman" w:hAnsi="Times New Roman"/>
          <w:sz w:val="16"/>
          <w:szCs w:val="28"/>
        </w:rPr>
      </w:pPr>
    </w:p>
    <w:p w14:paraId="2711E51C" w14:textId="3DC8810A" w:rsidR="00AC5885" w:rsidRPr="00AC5885" w:rsidRDefault="00AC5885" w:rsidP="00AC5885">
      <w:pPr>
        <w:pStyle w:val="ListParagraph"/>
        <w:ind w:left="1080"/>
        <w:rPr>
          <w:rFonts w:ascii="Times New Roman" w:hAnsi="Times New Roman"/>
          <w:sz w:val="16"/>
          <w:szCs w:val="28"/>
        </w:rPr>
      </w:pPr>
      <w:r w:rsidRPr="00AC5885">
        <w:rPr>
          <w:rFonts w:ascii="Times New Roman" w:hAnsi="Times New Roman"/>
          <w:sz w:val="16"/>
          <w:szCs w:val="28"/>
        </w:rPr>
        <w:t xml:space="preserve">The IOUs recognize that interconnection applicants may also need to propose project modifications after interconnection agreement due to equipment availability, final design arrangements and other factors.  In particular, no R21 procedures exist directly governing how project modifications are addressed after an Interconnection Agreement is executed.  </w:t>
      </w:r>
    </w:p>
    <w:p w14:paraId="748F3C7C" w14:textId="77777777" w:rsidR="00AC5885" w:rsidRPr="00AC5885" w:rsidRDefault="00AC5885" w:rsidP="00AC5885">
      <w:pPr>
        <w:pStyle w:val="ListParagraph"/>
        <w:ind w:left="1080"/>
        <w:rPr>
          <w:rFonts w:ascii="Times New Roman" w:hAnsi="Times New Roman"/>
          <w:sz w:val="16"/>
          <w:szCs w:val="28"/>
        </w:rPr>
      </w:pPr>
    </w:p>
    <w:p w14:paraId="36104EAB" w14:textId="500B3F6D" w:rsidR="00AC5885" w:rsidRPr="00AC5885" w:rsidRDefault="00AC5885" w:rsidP="00AC5885">
      <w:pPr>
        <w:pStyle w:val="ListParagraph"/>
        <w:ind w:left="1080"/>
        <w:rPr>
          <w:rFonts w:ascii="Times New Roman" w:hAnsi="Times New Roman"/>
          <w:b/>
          <w:sz w:val="16"/>
          <w:szCs w:val="28"/>
        </w:rPr>
      </w:pPr>
      <w:r w:rsidRPr="00AC5885">
        <w:rPr>
          <w:rFonts w:ascii="Times New Roman" w:hAnsi="Times New Roman"/>
          <w:sz w:val="16"/>
          <w:szCs w:val="28"/>
        </w:rPr>
        <w:t xml:space="preserve">At the Wholesale Distribution Tariff level, existing procedures exist regarding how to address such changes and address critical questions such as cost responsibility, system reviews and transparency on process. As part of this Working Group discussion, it may be appropriate to discuss the issue of "post Interconnection Agreement" changes and whether existing procedures utilized at the wholesale level should be applied within R21.    </w:t>
      </w:r>
    </w:p>
    <w:p w14:paraId="2AA6C612" w14:textId="77777777" w:rsidR="00AC5885" w:rsidRPr="00AC5885" w:rsidRDefault="00AC5885" w:rsidP="00AC5885">
      <w:pPr>
        <w:pStyle w:val="ListParagraph"/>
        <w:ind w:left="1080"/>
        <w:rPr>
          <w:rFonts w:ascii="Times New Roman" w:hAnsi="Times New Roman"/>
          <w:sz w:val="20"/>
          <w:szCs w:val="28"/>
        </w:rPr>
      </w:pPr>
    </w:p>
    <w:p w14:paraId="5B09731C" w14:textId="77777777" w:rsidR="00AC5885" w:rsidRPr="00AC5885" w:rsidRDefault="00AC5885" w:rsidP="00AC5885">
      <w:pPr>
        <w:pStyle w:val="ListParagraph"/>
        <w:ind w:left="1080"/>
        <w:rPr>
          <w:rFonts w:ascii="Times New Roman" w:hAnsi="Times New Roman"/>
          <w:bCs/>
          <w:position w:val="1"/>
          <w:sz w:val="20"/>
          <w:szCs w:val="28"/>
        </w:rPr>
      </w:pPr>
    </w:p>
    <w:p w14:paraId="1491D975" w14:textId="77777777" w:rsidR="00AC5885" w:rsidRPr="00CC1391" w:rsidRDefault="00AC5885" w:rsidP="00AC5885">
      <w:pPr>
        <w:pStyle w:val="ListParagraph"/>
        <w:ind w:left="1080"/>
        <w:rPr>
          <w:rFonts w:ascii="Times New Roman" w:hAnsi="Times New Roman"/>
          <w:sz w:val="28"/>
          <w:szCs w:val="28"/>
        </w:rPr>
      </w:pPr>
    </w:p>
    <w:p w14:paraId="69E3CA97" w14:textId="39FF6C47" w:rsidR="00AC5885" w:rsidRDefault="00AC5885">
      <w:pPr>
        <w:spacing w:after="200" w:line="276" w:lineRule="auto"/>
        <w:rPr>
          <w:rFonts w:asciiTheme="majorHAnsi" w:hAnsiTheme="majorHAnsi"/>
          <w:b/>
          <w:color w:val="000000"/>
        </w:rPr>
      </w:pPr>
      <w:r>
        <w:rPr>
          <w:rFonts w:asciiTheme="majorHAnsi" w:hAnsiTheme="majorHAnsi"/>
          <w:b/>
          <w:color w:val="000000"/>
        </w:rPr>
        <w:br w:type="page"/>
      </w:r>
    </w:p>
    <w:p w14:paraId="4CFE64D8" w14:textId="170439D4" w:rsidR="00583657" w:rsidRDefault="00583657" w:rsidP="00583657">
      <w:pPr>
        <w:jc w:val="center"/>
        <w:outlineLvl w:val="0"/>
        <w:rPr>
          <w:rFonts w:asciiTheme="majorHAnsi" w:hAnsiTheme="majorHAnsi"/>
          <w:b/>
          <w:color w:val="000000"/>
        </w:rPr>
      </w:pPr>
      <w:r w:rsidRPr="00F72317">
        <w:rPr>
          <w:rFonts w:asciiTheme="majorHAnsi" w:hAnsiTheme="majorHAnsi"/>
          <w:b/>
          <w:color w:val="000000"/>
        </w:rPr>
        <w:lastRenderedPageBreak/>
        <w:t xml:space="preserve">Appendix </w:t>
      </w:r>
      <w:r w:rsidR="00AC5885">
        <w:rPr>
          <w:rFonts w:asciiTheme="majorHAnsi" w:hAnsiTheme="majorHAnsi"/>
          <w:b/>
          <w:color w:val="000000"/>
        </w:rPr>
        <w:t>D</w:t>
      </w:r>
      <w:r w:rsidRPr="00F72317">
        <w:rPr>
          <w:rFonts w:asciiTheme="majorHAnsi" w:hAnsiTheme="majorHAnsi"/>
          <w:b/>
          <w:color w:val="000000"/>
        </w:rPr>
        <w:t xml:space="preserve">: </w:t>
      </w:r>
      <w:r>
        <w:rPr>
          <w:rFonts w:asciiTheme="majorHAnsi" w:hAnsiTheme="majorHAnsi"/>
          <w:b/>
          <w:color w:val="000000"/>
        </w:rPr>
        <w:t>Downsizing Email per the Interconnection Discussion Forum</w:t>
      </w:r>
    </w:p>
    <w:p w14:paraId="034900C2" w14:textId="77777777" w:rsidR="00583657" w:rsidRDefault="00583657" w:rsidP="00583657">
      <w:pPr>
        <w:jc w:val="center"/>
        <w:outlineLvl w:val="0"/>
        <w:rPr>
          <w:rFonts w:ascii="Tahoma" w:hAnsi="Tahoma" w:cs="Tahoma"/>
          <w:b/>
          <w:bCs/>
          <w:sz w:val="16"/>
          <w:szCs w:val="20"/>
        </w:rPr>
      </w:pPr>
    </w:p>
    <w:p w14:paraId="1A9BE7BF" w14:textId="77777777" w:rsidR="00A01943" w:rsidRPr="00583657" w:rsidRDefault="00A01943" w:rsidP="00A01943">
      <w:pPr>
        <w:outlineLvl w:val="0"/>
        <w:rPr>
          <w:sz w:val="14"/>
        </w:rPr>
      </w:pPr>
      <w:r w:rsidRPr="00583657">
        <w:rPr>
          <w:rFonts w:ascii="Tahoma" w:hAnsi="Tahoma" w:cs="Tahoma"/>
          <w:b/>
          <w:bCs/>
          <w:sz w:val="12"/>
          <w:szCs w:val="20"/>
        </w:rPr>
        <w:t>From:</w:t>
      </w:r>
      <w:r w:rsidRPr="00583657">
        <w:rPr>
          <w:rFonts w:ascii="Tahoma" w:hAnsi="Tahoma" w:cs="Tahoma"/>
          <w:sz w:val="12"/>
          <w:szCs w:val="20"/>
        </w:rPr>
        <w:t xml:space="preserve"> Sanders, Heather [</w:t>
      </w:r>
      <w:hyperlink r:id="rId13" w:history="1">
        <w:r w:rsidRPr="00583657">
          <w:rPr>
            <w:rStyle w:val="Hyperlink"/>
            <w:rFonts w:ascii="Tahoma" w:hAnsi="Tahoma" w:cs="Tahoma"/>
            <w:sz w:val="12"/>
            <w:szCs w:val="20"/>
          </w:rPr>
          <w:t>mailto:Heather.Sanders@cpuc.ca.gov</w:t>
        </w:r>
      </w:hyperlink>
      <w:r w:rsidRPr="00583657">
        <w:rPr>
          <w:rFonts w:ascii="Tahoma" w:hAnsi="Tahoma" w:cs="Tahoma"/>
          <w:sz w:val="12"/>
          <w:szCs w:val="20"/>
        </w:rPr>
        <w:t xml:space="preserve">] </w:t>
      </w:r>
      <w:r w:rsidRPr="00583657">
        <w:rPr>
          <w:rFonts w:ascii="Tahoma" w:hAnsi="Tahoma" w:cs="Tahoma"/>
          <w:sz w:val="12"/>
          <w:szCs w:val="20"/>
        </w:rPr>
        <w:br/>
      </w:r>
      <w:r w:rsidRPr="00583657">
        <w:rPr>
          <w:rFonts w:ascii="Tahoma" w:hAnsi="Tahoma" w:cs="Tahoma"/>
          <w:b/>
          <w:bCs/>
          <w:sz w:val="12"/>
          <w:szCs w:val="20"/>
        </w:rPr>
        <w:t>Sent:</w:t>
      </w:r>
      <w:r w:rsidRPr="00583657">
        <w:rPr>
          <w:rFonts w:ascii="Tahoma" w:hAnsi="Tahoma" w:cs="Tahoma"/>
          <w:sz w:val="12"/>
          <w:szCs w:val="20"/>
        </w:rPr>
        <w:t xml:space="preserve"> Monday, November 27, 2017 1:32 PM</w:t>
      </w:r>
      <w:r w:rsidRPr="00583657">
        <w:rPr>
          <w:rFonts w:ascii="Tahoma" w:hAnsi="Tahoma" w:cs="Tahoma"/>
          <w:sz w:val="12"/>
          <w:szCs w:val="20"/>
        </w:rPr>
        <w:br/>
      </w:r>
      <w:r w:rsidRPr="00583657">
        <w:rPr>
          <w:rFonts w:ascii="Tahoma" w:hAnsi="Tahoma" w:cs="Tahoma"/>
          <w:b/>
          <w:bCs/>
          <w:sz w:val="12"/>
          <w:szCs w:val="20"/>
        </w:rPr>
        <w:t>To:</w:t>
      </w:r>
      <w:r w:rsidRPr="00583657">
        <w:rPr>
          <w:rFonts w:ascii="Tahoma" w:hAnsi="Tahoma" w:cs="Tahoma"/>
          <w:sz w:val="12"/>
          <w:szCs w:val="20"/>
        </w:rPr>
        <w:t xml:space="preserve"> Evans, Mary Claire E.; Sanders, Heather</w:t>
      </w:r>
      <w:r w:rsidRPr="00583657">
        <w:rPr>
          <w:rFonts w:ascii="Tahoma" w:hAnsi="Tahoma" w:cs="Tahoma"/>
          <w:sz w:val="12"/>
          <w:szCs w:val="20"/>
        </w:rPr>
        <w:br/>
      </w:r>
      <w:r w:rsidRPr="00583657">
        <w:rPr>
          <w:rFonts w:ascii="Tahoma" w:hAnsi="Tahoma" w:cs="Tahoma"/>
          <w:b/>
          <w:bCs/>
          <w:sz w:val="12"/>
          <w:szCs w:val="20"/>
        </w:rPr>
        <w:t>Subject:</w:t>
      </w:r>
      <w:r w:rsidRPr="00583657">
        <w:rPr>
          <w:rFonts w:ascii="Tahoma" w:hAnsi="Tahoma" w:cs="Tahoma"/>
          <w:sz w:val="12"/>
          <w:szCs w:val="20"/>
        </w:rPr>
        <w:t xml:space="preserve"> IDF Update: Downsizing During Rule 21 Fast Track Review Process</w:t>
      </w:r>
    </w:p>
    <w:p w14:paraId="799AA678" w14:textId="77777777" w:rsidR="00583657" w:rsidRDefault="00583657" w:rsidP="00A01943">
      <w:pPr>
        <w:rPr>
          <w:color w:val="FF0000"/>
          <w:sz w:val="14"/>
        </w:rPr>
      </w:pPr>
    </w:p>
    <w:p w14:paraId="79B6415E" w14:textId="77777777" w:rsidR="00A01943" w:rsidRPr="00583657" w:rsidRDefault="00A01943" w:rsidP="00A01943">
      <w:pPr>
        <w:rPr>
          <w:sz w:val="14"/>
        </w:rPr>
      </w:pPr>
      <w:r w:rsidRPr="00583657">
        <w:rPr>
          <w:color w:val="1F497D"/>
          <w:sz w:val="14"/>
        </w:rPr>
        <w:t>Stakeholders,</w:t>
      </w:r>
    </w:p>
    <w:p w14:paraId="5FF69C45" w14:textId="77777777" w:rsidR="00A01943" w:rsidRPr="00583657" w:rsidRDefault="00A01943" w:rsidP="00A01943">
      <w:pPr>
        <w:rPr>
          <w:sz w:val="14"/>
        </w:rPr>
      </w:pPr>
      <w:r w:rsidRPr="00583657">
        <w:rPr>
          <w:color w:val="1F497D"/>
          <w:sz w:val="14"/>
        </w:rPr>
        <w:t> </w:t>
      </w:r>
    </w:p>
    <w:p w14:paraId="12D5FD47" w14:textId="77777777" w:rsidR="00A01943" w:rsidRPr="00583657" w:rsidRDefault="00A01943" w:rsidP="00A01943">
      <w:pPr>
        <w:rPr>
          <w:sz w:val="14"/>
        </w:rPr>
      </w:pPr>
      <w:r w:rsidRPr="00583657">
        <w:rPr>
          <w:color w:val="1F497D"/>
          <w:sz w:val="14"/>
        </w:rPr>
        <w:t>One of our interconnection discussion forum objectives is to communicate understanding of how Rule 21 is being implemented in the case where there could be different interpretations of the Rule.</w:t>
      </w:r>
    </w:p>
    <w:p w14:paraId="36624A16" w14:textId="77777777" w:rsidR="00A01943" w:rsidRPr="00583657" w:rsidRDefault="00A01943" w:rsidP="00A01943">
      <w:pPr>
        <w:rPr>
          <w:sz w:val="14"/>
        </w:rPr>
      </w:pPr>
      <w:r w:rsidRPr="00583657">
        <w:rPr>
          <w:color w:val="1F497D"/>
          <w:sz w:val="14"/>
        </w:rPr>
        <w:t> </w:t>
      </w:r>
    </w:p>
    <w:p w14:paraId="73C0F7CB" w14:textId="77777777" w:rsidR="00A01943" w:rsidRPr="00583657" w:rsidRDefault="00A01943" w:rsidP="00A01943">
      <w:pPr>
        <w:rPr>
          <w:sz w:val="14"/>
        </w:rPr>
      </w:pPr>
      <w:r w:rsidRPr="00583657">
        <w:rPr>
          <w:color w:val="1F497D"/>
          <w:sz w:val="14"/>
        </w:rPr>
        <w:t>The following seeks to clarify how each IOU will treat reductions in size to solar systems after initial submission.  Note that all the scenarios relate to the customer being in the initial review fast track process.</w:t>
      </w:r>
    </w:p>
    <w:p w14:paraId="4CEF23BA" w14:textId="77777777" w:rsidR="00A01943" w:rsidRPr="00583657" w:rsidRDefault="00A01943" w:rsidP="00A01943">
      <w:pPr>
        <w:rPr>
          <w:sz w:val="14"/>
        </w:rPr>
      </w:pPr>
      <w:r w:rsidRPr="00583657">
        <w:rPr>
          <w:color w:val="1F497D"/>
          <w:sz w:val="14"/>
        </w:rPr>
        <w:t> </w:t>
      </w:r>
    </w:p>
    <w:p w14:paraId="0D3A6F83"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r w:rsidRPr="00583657">
        <w:rPr>
          <w:color w:val="1F497D"/>
          <w:sz w:val="14"/>
        </w:rPr>
        <w:t>Both PG&amp;E and SDG&amp;E will not require application withdrawal and resubmittal when the system size is reduced and either no mitigations (upgrades) were required, or the customer accepts them.</w:t>
      </w:r>
    </w:p>
    <w:p w14:paraId="15D4BF5F"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r w:rsidRPr="00583657">
        <w:rPr>
          <w:color w:val="1F497D"/>
          <w:sz w:val="14"/>
        </w:rPr>
        <w:t>SDG&amp;E will not require application withdrawal and resubmission in the case the system size has reduced and mitigations were required and the customer doesn’t accept them, while PG&amp;E currently does but is open to discuss the treatment on a case by case basis.</w:t>
      </w:r>
    </w:p>
    <w:p w14:paraId="1DBE5DA1"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r w:rsidRPr="00583657">
        <w:rPr>
          <w:color w:val="1F497D"/>
          <w:sz w:val="14"/>
        </w:rPr>
        <w:t>SCE evaluates the request applying a Material Modification standard.</w:t>
      </w:r>
    </w:p>
    <w:p w14:paraId="2B1AB338" w14:textId="77777777" w:rsidR="00A01943" w:rsidRPr="00583657" w:rsidRDefault="00A01943" w:rsidP="00A01943">
      <w:pPr>
        <w:pStyle w:val="ListParagraph"/>
        <w:ind w:hanging="360"/>
        <w:rPr>
          <w:sz w:val="14"/>
        </w:rPr>
      </w:pPr>
      <w:r w:rsidRPr="00583657">
        <w:rPr>
          <w:rFonts w:ascii="Symbol" w:hAnsi="Symbol"/>
          <w:color w:val="1F497D"/>
          <w:sz w:val="14"/>
        </w:rPr>
        <w:t></w:t>
      </w:r>
      <w:r w:rsidRPr="00583657">
        <w:rPr>
          <w:rFonts w:ascii="Times New Roman" w:hAnsi="Times New Roman"/>
          <w:color w:val="1F497D"/>
          <w:sz w:val="6"/>
          <w:szCs w:val="14"/>
        </w:rPr>
        <w:t xml:space="preserve">        </w:t>
      </w:r>
      <w:proofErr w:type="gramStart"/>
      <w:r w:rsidRPr="00583657">
        <w:rPr>
          <w:color w:val="1F497D"/>
          <w:sz w:val="14"/>
        </w:rPr>
        <w:t>All</w:t>
      </w:r>
      <w:proofErr w:type="gramEnd"/>
      <w:r w:rsidRPr="00583657">
        <w:rPr>
          <w:color w:val="1F497D"/>
          <w:sz w:val="14"/>
        </w:rPr>
        <w:t xml:space="preserve"> three IOUs require application withdrawal and resubmission if the size has increased.</w:t>
      </w:r>
    </w:p>
    <w:p w14:paraId="3A5A3AFE" w14:textId="77777777" w:rsidR="00A01943" w:rsidRPr="00583657" w:rsidRDefault="00A01943" w:rsidP="00A01943">
      <w:pPr>
        <w:rPr>
          <w:sz w:val="14"/>
        </w:rPr>
      </w:pPr>
      <w:r w:rsidRPr="00583657">
        <w:rPr>
          <w:color w:val="1F497D"/>
          <w:sz w:val="14"/>
        </w:rPr>
        <w:t> </w:t>
      </w:r>
    </w:p>
    <w:p w14:paraId="3295FF56" w14:textId="77777777" w:rsidR="00A01943" w:rsidRPr="00583657" w:rsidRDefault="00A01943" w:rsidP="00A01943">
      <w:pPr>
        <w:rPr>
          <w:sz w:val="14"/>
        </w:rPr>
      </w:pPr>
      <w:r w:rsidRPr="00583657">
        <w:rPr>
          <w:color w:val="1F497D"/>
          <w:sz w:val="14"/>
        </w:rPr>
        <w:t>See below for the scenarios and individual utility responses.  Please respond with any clarifying questions.</w:t>
      </w:r>
    </w:p>
    <w:p w14:paraId="3F7150A5" w14:textId="77777777" w:rsidR="00A01943" w:rsidRPr="00583657" w:rsidRDefault="00A01943" w:rsidP="00A01943">
      <w:pPr>
        <w:rPr>
          <w:sz w:val="14"/>
        </w:rPr>
      </w:pPr>
      <w:r w:rsidRPr="00583657">
        <w:rPr>
          <w:color w:val="1F497D"/>
          <w:sz w:val="14"/>
        </w:rPr>
        <w:t> </w:t>
      </w:r>
    </w:p>
    <w:p w14:paraId="792FB1F0" w14:textId="77777777" w:rsidR="00A01943" w:rsidRPr="00583657" w:rsidRDefault="00A01943" w:rsidP="00A01943">
      <w:pPr>
        <w:rPr>
          <w:sz w:val="14"/>
        </w:rPr>
      </w:pPr>
      <w:r w:rsidRPr="00583657">
        <w:rPr>
          <w:color w:val="1F497D"/>
          <w:sz w:val="14"/>
        </w:rPr>
        <w:t>Thanks,</w:t>
      </w:r>
    </w:p>
    <w:p w14:paraId="35CA48E3" w14:textId="77777777" w:rsidR="00A01943" w:rsidRPr="00583657" w:rsidRDefault="00A01943" w:rsidP="00A01943">
      <w:pPr>
        <w:rPr>
          <w:sz w:val="14"/>
        </w:rPr>
      </w:pPr>
      <w:r w:rsidRPr="00583657">
        <w:rPr>
          <w:color w:val="1F497D"/>
          <w:sz w:val="14"/>
        </w:rPr>
        <w:t>Heather</w:t>
      </w:r>
    </w:p>
    <w:p w14:paraId="2C5AFA51" w14:textId="77777777" w:rsidR="00A01943" w:rsidRPr="00583657" w:rsidRDefault="00A01943" w:rsidP="00A01943">
      <w:pPr>
        <w:rPr>
          <w:sz w:val="14"/>
        </w:rPr>
      </w:pPr>
      <w:r w:rsidRPr="00583657">
        <w:rPr>
          <w:color w:val="1F497D"/>
          <w:sz w:val="14"/>
        </w:rPr>
        <w:t> </w:t>
      </w:r>
    </w:p>
    <w:p w14:paraId="3941C4B3" w14:textId="77777777" w:rsidR="00A01943" w:rsidRPr="00583657" w:rsidRDefault="00A01943" w:rsidP="00A01943">
      <w:pPr>
        <w:spacing w:before="100" w:beforeAutospacing="1" w:after="100" w:afterAutospacing="1" w:line="276" w:lineRule="auto"/>
        <w:contextualSpacing/>
        <w:rPr>
          <w:sz w:val="14"/>
        </w:rPr>
      </w:pPr>
      <w:r w:rsidRPr="00583657">
        <w:rPr>
          <w:rFonts w:ascii="Arial Narrow" w:hAnsi="Arial Narrow"/>
          <w:b/>
          <w:bCs/>
          <w:color w:val="244061"/>
          <w:sz w:val="14"/>
        </w:rPr>
        <w:t>Heather Sanders</w:t>
      </w:r>
    </w:p>
    <w:p w14:paraId="2B23E79D" w14:textId="77777777" w:rsidR="00A01943" w:rsidRPr="00583657" w:rsidRDefault="00A01943" w:rsidP="00A01943">
      <w:pPr>
        <w:spacing w:before="100" w:beforeAutospacing="1" w:after="100" w:afterAutospacing="1" w:line="276" w:lineRule="auto"/>
        <w:contextualSpacing/>
        <w:rPr>
          <w:sz w:val="18"/>
        </w:rPr>
      </w:pPr>
      <w:r w:rsidRPr="00583657">
        <w:rPr>
          <w:rFonts w:ascii="Arial Narrow" w:hAnsi="Arial Narrow"/>
          <w:color w:val="244061"/>
          <w:sz w:val="10"/>
          <w:szCs w:val="18"/>
        </w:rPr>
        <w:t>Special Advisor, Energy Division</w:t>
      </w:r>
      <w:r w:rsidRPr="00583657">
        <w:rPr>
          <w:rFonts w:ascii="Times New Roman" w:hAnsi="Times New Roman"/>
          <w:color w:val="000000"/>
          <w:sz w:val="10"/>
          <w:szCs w:val="18"/>
        </w:rPr>
        <w:br/>
      </w:r>
      <w:r w:rsidRPr="00583657">
        <w:rPr>
          <w:rFonts w:ascii="Wingdings" w:hAnsi="Wingdings"/>
          <w:color w:val="244061"/>
          <w:sz w:val="12"/>
          <w:szCs w:val="20"/>
        </w:rPr>
        <w:t></w:t>
      </w:r>
      <w:r w:rsidRPr="00583657">
        <w:rPr>
          <w:color w:val="244061"/>
          <w:sz w:val="10"/>
          <w:szCs w:val="18"/>
        </w:rPr>
        <w:t xml:space="preserve"> (916) 327–6786 | </w:t>
      </w:r>
      <w:r w:rsidRPr="00583657">
        <w:rPr>
          <w:rFonts w:ascii="Webdings" w:hAnsi="Webdings"/>
          <w:color w:val="244061"/>
          <w:sz w:val="14"/>
        </w:rPr>
        <w:t></w:t>
      </w:r>
      <w:r w:rsidRPr="00583657">
        <w:rPr>
          <w:color w:val="244061"/>
          <w:sz w:val="10"/>
          <w:szCs w:val="18"/>
        </w:rPr>
        <w:t>cell (916) 224–4479</w:t>
      </w:r>
      <w:r w:rsidRPr="00583657">
        <w:rPr>
          <w:rFonts w:ascii="Arial Narrow" w:hAnsi="Arial Narrow"/>
          <w:color w:val="365F91"/>
          <w:sz w:val="12"/>
          <w:szCs w:val="20"/>
        </w:rPr>
        <w:t xml:space="preserve"> </w:t>
      </w:r>
    </w:p>
    <w:p w14:paraId="1B792AAF" w14:textId="77777777" w:rsidR="00A01943" w:rsidRPr="00583657" w:rsidRDefault="00A01943" w:rsidP="00A01943">
      <w:pPr>
        <w:rPr>
          <w:sz w:val="18"/>
        </w:rPr>
      </w:pPr>
      <w:r w:rsidRPr="00583657">
        <w:rPr>
          <w:color w:val="1F497D"/>
          <w:sz w:val="18"/>
        </w:rPr>
        <w:t> </w:t>
      </w:r>
    </w:p>
    <w:p w14:paraId="12673B57" w14:textId="77777777" w:rsidR="00A01943" w:rsidRPr="00583657" w:rsidRDefault="00A01943" w:rsidP="00A01943">
      <w:pPr>
        <w:outlineLvl w:val="0"/>
        <w:rPr>
          <w:sz w:val="14"/>
        </w:rPr>
      </w:pPr>
      <w:r w:rsidRPr="00583657">
        <w:rPr>
          <w:b/>
          <w:bCs/>
          <w:sz w:val="14"/>
        </w:rPr>
        <w:t>From:</w:t>
      </w:r>
      <w:r w:rsidRPr="00583657">
        <w:rPr>
          <w:sz w:val="14"/>
        </w:rPr>
        <w:t xml:space="preserve"> Plummer, Matthew [</w:t>
      </w:r>
      <w:hyperlink r:id="rId14" w:history="1">
        <w:r w:rsidRPr="00583657">
          <w:rPr>
            <w:rStyle w:val="Hyperlink"/>
            <w:sz w:val="14"/>
          </w:rPr>
          <w:t>mailto:M3Pu@pge.com</w:t>
        </w:r>
      </w:hyperlink>
      <w:r w:rsidRPr="00583657">
        <w:rPr>
          <w:sz w:val="14"/>
        </w:rPr>
        <w:t xml:space="preserve">] </w:t>
      </w:r>
      <w:r w:rsidRPr="00583657">
        <w:rPr>
          <w:sz w:val="14"/>
        </w:rPr>
        <w:br/>
      </w:r>
      <w:r w:rsidRPr="00583657">
        <w:rPr>
          <w:b/>
          <w:bCs/>
          <w:sz w:val="14"/>
        </w:rPr>
        <w:t>Sent:</w:t>
      </w:r>
      <w:r w:rsidRPr="00583657">
        <w:rPr>
          <w:sz w:val="14"/>
        </w:rPr>
        <w:t xml:space="preserve"> Thursday, November 16, 2017 3:55 PM</w:t>
      </w:r>
      <w:r w:rsidRPr="00583657">
        <w:rPr>
          <w:sz w:val="14"/>
        </w:rPr>
        <w:br/>
      </w:r>
      <w:r w:rsidRPr="00583657">
        <w:rPr>
          <w:b/>
          <w:bCs/>
          <w:sz w:val="14"/>
        </w:rPr>
        <w:t>To:</w:t>
      </w:r>
      <w:r w:rsidRPr="00583657">
        <w:rPr>
          <w:sz w:val="14"/>
        </w:rPr>
        <w:t xml:space="preserve"> Sanders, Heather &lt;</w:t>
      </w:r>
      <w:hyperlink r:id="rId15" w:history="1">
        <w:r w:rsidRPr="00583657">
          <w:rPr>
            <w:rStyle w:val="Hyperlink"/>
            <w:sz w:val="14"/>
          </w:rPr>
          <w:t>Heather.Sanders@cpuc.ca.gov</w:t>
        </w:r>
      </w:hyperlink>
      <w:r w:rsidRPr="00583657">
        <w:rPr>
          <w:sz w:val="14"/>
        </w:rPr>
        <w:t>&gt;</w:t>
      </w:r>
      <w:r w:rsidRPr="00583657">
        <w:rPr>
          <w:sz w:val="14"/>
        </w:rPr>
        <w:br/>
      </w:r>
      <w:r w:rsidRPr="00583657">
        <w:rPr>
          <w:b/>
          <w:bCs/>
          <w:sz w:val="14"/>
        </w:rPr>
        <w:t>Cc:</w:t>
      </w:r>
      <w:r w:rsidRPr="00583657">
        <w:rPr>
          <w:sz w:val="14"/>
        </w:rPr>
        <w:t xml:space="preserve"> Evans, Mary Claire E. &lt;</w:t>
      </w:r>
      <w:hyperlink r:id="rId16" w:history="1">
        <w:r w:rsidRPr="00583657">
          <w:rPr>
            <w:rStyle w:val="Hyperlink"/>
            <w:sz w:val="14"/>
          </w:rPr>
          <w:t>MaryClaire.Evans@cpuc.ca.gov</w:t>
        </w:r>
      </w:hyperlink>
      <w:r w:rsidRPr="00583657">
        <w:rPr>
          <w:sz w:val="14"/>
        </w:rPr>
        <w:t xml:space="preserve">&gt;; </w:t>
      </w:r>
      <w:proofErr w:type="spellStart"/>
      <w:r w:rsidRPr="00583657">
        <w:rPr>
          <w:sz w:val="14"/>
        </w:rPr>
        <w:t>Charipar</w:t>
      </w:r>
      <w:proofErr w:type="spellEnd"/>
      <w:r w:rsidRPr="00583657">
        <w:rPr>
          <w:sz w:val="14"/>
        </w:rPr>
        <w:t>, Kristin &lt;</w:t>
      </w:r>
      <w:hyperlink r:id="rId17" w:history="1">
        <w:r w:rsidRPr="00583657">
          <w:rPr>
            <w:rStyle w:val="Hyperlink"/>
            <w:sz w:val="14"/>
          </w:rPr>
          <w:t>KDCI@pge.com</w:t>
        </w:r>
      </w:hyperlink>
      <w:r w:rsidRPr="00583657">
        <w:rPr>
          <w:sz w:val="14"/>
        </w:rPr>
        <w:t xml:space="preserve">&gt;; Diana </w:t>
      </w:r>
      <w:proofErr w:type="spellStart"/>
      <w:r w:rsidRPr="00583657">
        <w:rPr>
          <w:sz w:val="14"/>
        </w:rPr>
        <w:t>Genasci</w:t>
      </w:r>
      <w:proofErr w:type="spellEnd"/>
      <w:r w:rsidRPr="00583657">
        <w:rPr>
          <w:sz w:val="14"/>
        </w:rPr>
        <w:t xml:space="preserve"> (</w:t>
      </w:r>
      <w:hyperlink r:id="rId18" w:history="1">
        <w:r w:rsidRPr="00583657">
          <w:rPr>
            <w:rStyle w:val="Hyperlink"/>
            <w:sz w:val="14"/>
          </w:rPr>
          <w:t>diana.s.genasci@sce.com</w:t>
        </w:r>
      </w:hyperlink>
      <w:r w:rsidRPr="00583657">
        <w:rPr>
          <w:sz w:val="14"/>
        </w:rPr>
        <w:t>) &lt;</w:t>
      </w:r>
      <w:hyperlink r:id="rId19" w:history="1">
        <w:r w:rsidRPr="00583657">
          <w:rPr>
            <w:rStyle w:val="Hyperlink"/>
            <w:sz w:val="14"/>
          </w:rPr>
          <w:t>diana.s.genasci@sce.com</w:t>
        </w:r>
      </w:hyperlink>
      <w:r w:rsidRPr="00583657">
        <w:rPr>
          <w:sz w:val="14"/>
        </w:rPr>
        <w:t>&gt;; Kathryn Enright &lt;</w:t>
      </w:r>
      <w:hyperlink r:id="rId20" w:history="1">
        <w:r w:rsidRPr="00583657">
          <w:rPr>
            <w:rStyle w:val="Hyperlink"/>
            <w:sz w:val="14"/>
          </w:rPr>
          <w:t>Kathryn.Enright@sce.com</w:t>
        </w:r>
      </w:hyperlink>
      <w:r w:rsidRPr="00583657">
        <w:rPr>
          <w:sz w:val="14"/>
        </w:rPr>
        <w:t xml:space="preserve">&gt;; </w:t>
      </w:r>
      <w:proofErr w:type="spellStart"/>
      <w:r w:rsidRPr="00583657">
        <w:rPr>
          <w:sz w:val="14"/>
        </w:rPr>
        <w:t>joe</w:t>
      </w:r>
      <w:proofErr w:type="spellEnd"/>
      <w:r w:rsidRPr="00583657">
        <w:rPr>
          <w:sz w:val="14"/>
        </w:rPr>
        <w:t xml:space="preserve"> </w:t>
      </w:r>
      <w:proofErr w:type="spellStart"/>
      <w:r w:rsidRPr="00583657">
        <w:rPr>
          <w:sz w:val="14"/>
        </w:rPr>
        <w:t>mccawley</w:t>
      </w:r>
      <w:proofErr w:type="spellEnd"/>
      <w:r w:rsidRPr="00583657">
        <w:rPr>
          <w:sz w:val="14"/>
        </w:rPr>
        <w:t xml:space="preserve"> &lt;</w:t>
      </w:r>
      <w:hyperlink r:id="rId21" w:history="1">
        <w:r w:rsidRPr="00583657">
          <w:rPr>
            <w:rStyle w:val="Hyperlink"/>
            <w:sz w:val="14"/>
          </w:rPr>
          <w:t>JMcCawley@semprautilities.com</w:t>
        </w:r>
      </w:hyperlink>
      <w:r w:rsidRPr="00583657">
        <w:rPr>
          <w:sz w:val="14"/>
        </w:rPr>
        <w:t>&gt;</w:t>
      </w:r>
      <w:r w:rsidRPr="00583657">
        <w:rPr>
          <w:sz w:val="14"/>
        </w:rPr>
        <w:br/>
      </w:r>
      <w:r w:rsidRPr="00583657">
        <w:rPr>
          <w:b/>
          <w:bCs/>
          <w:sz w:val="14"/>
        </w:rPr>
        <w:t>Subject:</w:t>
      </w:r>
      <w:r w:rsidRPr="00583657">
        <w:rPr>
          <w:sz w:val="14"/>
        </w:rPr>
        <w:t xml:space="preserve"> Update: Downsizing During Rule 21 Fast Track Review Process</w:t>
      </w:r>
    </w:p>
    <w:p w14:paraId="1D5C4230" w14:textId="77777777" w:rsidR="00A01943" w:rsidRPr="00583657" w:rsidRDefault="00A01943" w:rsidP="00A01943">
      <w:pPr>
        <w:rPr>
          <w:sz w:val="14"/>
        </w:rPr>
      </w:pPr>
      <w:r w:rsidRPr="00583657">
        <w:rPr>
          <w:sz w:val="14"/>
        </w:rPr>
        <w:t> </w:t>
      </w:r>
    </w:p>
    <w:p w14:paraId="7763ED26" w14:textId="77777777" w:rsidR="00A01943" w:rsidRPr="00583657" w:rsidRDefault="00A01943" w:rsidP="00A01943">
      <w:pPr>
        <w:rPr>
          <w:sz w:val="14"/>
        </w:rPr>
      </w:pPr>
      <w:r w:rsidRPr="00583657">
        <w:rPr>
          <w:sz w:val="14"/>
        </w:rPr>
        <w:t>Heather,</w:t>
      </w:r>
    </w:p>
    <w:p w14:paraId="4F8DB01B" w14:textId="77777777" w:rsidR="00A01943" w:rsidRPr="00583657" w:rsidRDefault="00A01943" w:rsidP="00A01943">
      <w:pPr>
        <w:rPr>
          <w:sz w:val="14"/>
        </w:rPr>
      </w:pPr>
      <w:r w:rsidRPr="00583657">
        <w:rPr>
          <w:b/>
          <w:bCs/>
          <w:sz w:val="14"/>
        </w:rPr>
        <w:t> </w:t>
      </w:r>
    </w:p>
    <w:p w14:paraId="09A9EBD4" w14:textId="77777777" w:rsidR="00A01943" w:rsidRPr="00583657" w:rsidRDefault="00A01943" w:rsidP="00A01943">
      <w:pPr>
        <w:rPr>
          <w:sz w:val="14"/>
        </w:rPr>
      </w:pPr>
      <w:r w:rsidRPr="00583657">
        <w:rPr>
          <w:sz w:val="14"/>
        </w:rPr>
        <w:t>You contacted each utility to ask that they explain how they interpret and apply relevant Rule 21 tariff provisions to address four scenarios.  We understand these four scenarios to be as follows:</w:t>
      </w:r>
    </w:p>
    <w:p w14:paraId="56C8ECB2" w14:textId="77777777" w:rsidR="00A01943" w:rsidRPr="00583657" w:rsidRDefault="00A01943" w:rsidP="00A01943">
      <w:pPr>
        <w:pStyle w:val="ListParagraph"/>
        <w:ind w:left="0"/>
        <w:rPr>
          <w:sz w:val="14"/>
        </w:rPr>
      </w:pPr>
      <w:r w:rsidRPr="00583657">
        <w:rPr>
          <w:b/>
          <w:bCs/>
          <w:sz w:val="14"/>
        </w:rPr>
        <w:t> </w:t>
      </w:r>
    </w:p>
    <w:p w14:paraId="752D49D8" w14:textId="77777777" w:rsidR="00A01943" w:rsidRPr="00583657" w:rsidRDefault="00A01943" w:rsidP="00583657">
      <w:pPr>
        <w:pStyle w:val="ListParagraph"/>
        <w:spacing w:after="120"/>
        <w:ind w:left="0"/>
        <w:rPr>
          <w:sz w:val="14"/>
        </w:rPr>
      </w:pPr>
      <w:r w:rsidRPr="00583657">
        <w:rPr>
          <w:b/>
          <w:bCs/>
          <w:sz w:val="14"/>
        </w:rPr>
        <w:t>Scenario Overviews:</w:t>
      </w:r>
    </w:p>
    <w:p w14:paraId="6576D3DC"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Scenario 1:</w:t>
      </w:r>
      <w:r w:rsidRPr="00583657">
        <w:rPr>
          <w:sz w:val="14"/>
        </w:rPr>
        <w:t xml:space="preserve"> Customer is currently being reviewed under the Fast Track Initial Review process.  During this process, no mitigation was identified.  The customer then requests to decrease the inverter nameplate of their proposed generating facility.              </w:t>
      </w:r>
    </w:p>
    <w:p w14:paraId="1AAA8A72" w14:textId="77777777" w:rsidR="00A01943" w:rsidRPr="00583657" w:rsidRDefault="00A01943" w:rsidP="00583657">
      <w:pPr>
        <w:pStyle w:val="ListParagraph"/>
        <w:rPr>
          <w:sz w:val="14"/>
        </w:rPr>
      </w:pPr>
      <w:r w:rsidRPr="00583657">
        <w:rPr>
          <w:sz w:val="14"/>
        </w:rPr>
        <w:t> </w:t>
      </w:r>
    </w:p>
    <w:p w14:paraId="1B8E03FE"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Scenario 2:</w:t>
      </w:r>
      <w:r w:rsidRPr="00583657">
        <w:rPr>
          <w:sz w:val="14"/>
        </w:rPr>
        <w:t xml:space="preserve"> Customer is currently being reviewed under the Fast Track process.  During this process, </w:t>
      </w:r>
      <w:proofErr w:type="gramStart"/>
      <w:r w:rsidRPr="00583657">
        <w:rPr>
          <w:sz w:val="14"/>
        </w:rPr>
        <w:t>a mitigation</w:t>
      </w:r>
      <w:proofErr w:type="gramEnd"/>
      <w:r w:rsidRPr="00583657">
        <w:rPr>
          <w:sz w:val="14"/>
        </w:rPr>
        <w:t xml:space="preserve">(s) was identified.  The customer then requests to decrease the inverter nameplate. The customer accepts the mitigation. </w:t>
      </w:r>
    </w:p>
    <w:p w14:paraId="323BF32D" w14:textId="77777777" w:rsidR="00A01943" w:rsidRPr="00583657" w:rsidRDefault="00A01943" w:rsidP="00583657">
      <w:pPr>
        <w:pStyle w:val="ListParagraph"/>
        <w:rPr>
          <w:sz w:val="14"/>
        </w:rPr>
      </w:pPr>
      <w:r w:rsidRPr="00583657">
        <w:rPr>
          <w:sz w:val="14"/>
        </w:rPr>
        <w:t> </w:t>
      </w:r>
    </w:p>
    <w:p w14:paraId="40ECDF43"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Scenario 3:</w:t>
      </w:r>
      <w:r w:rsidRPr="00583657">
        <w:rPr>
          <w:sz w:val="14"/>
        </w:rPr>
        <w:t xml:space="preserve"> Customer is currently being reviewed under the Fast Track process.  </w:t>
      </w:r>
      <w:proofErr w:type="gramStart"/>
      <w:r w:rsidRPr="00583657">
        <w:rPr>
          <w:sz w:val="14"/>
        </w:rPr>
        <w:t>During this process, a mitigation(s) that was identified.</w:t>
      </w:r>
      <w:proofErr w:type="gramEnd"/>
      <w:r w:rsidRPr="00583657">
        <w:rPr>
          <w:sz w:val="14"/>
        </w:rPr>
        <w:t>  The customer then requests to decrease the inverter nameplate. The customer does not accept the mitigation.</w:t>
      </w:r>
    </w:p>
    <w:p w14:paraId="5A3DE5FB" w14:textId="77777777" w:rsidR="00A01943" w:rsidRPr="00583657" w:rsidRDefault="00A01943" w:rsidP="00583657">
      <w:pPr>
        <w:pStyle w:val="ListParagraph"/>
        <w:rPr>
          <w:sz w:val="14"/>
        </w:rPr>
      </w:pPr>
      <w:r w:rsidRPr="00583657">
        <w:rPr>
          <w:sz w:val="14"/>
        </w:rPr>
        <w:t> </w:t>
      </w:r>
    </w:p>
    <w:p w14:paraId="13ACA374" w14:textId="77777777" w:rsidR="00A01943" w:rsidRPr="00583657" w:rsidRDefault="00A01943" w:rsidP="00583657">
      <w:pPr>
        <w:pStyle w:val="ListParagraph"/>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 xml:space="preserve">Scenario 4: </w:t>
      </w:r>
      <w:r w:rsidRPr="00583657">
        <w:rPr>
          <w:sz w:val="14"/>
        </w:rPr>
        <w:t>Customer is currently being reviewed under the Fast Track process.  During this process, no mitigation was identified.  The customer then requests to increase the inverter nameplate of their proposed generating facility.  The change may or may not trigger mitigation.</w:t>
      </w:r>
    </w:p>
    <w:p w14:paraId="610767BD" w14:textId="77777777" w:rsidR="00A01943" w:rsidRPr="00583657" w:rsidRDefault="00A01943" w:rsidP="00583657">
      <w:pPr>
        <w:rPr>
          <w:sz w:val="14"/>
        </w:rPr>
      </w:pPr>
      <w:r w:rsidRPr="00583657">
        <w:rPr>
          <w:sz w:val="14"/>
        </w:rPr>
        <w:t> </w:t>
      </w:r>
    </w:p>
    <w:p w14:paraId="7423AC40" w14:textId="77777777" w:rsidR="00A01943" w:rsidRPr="00583657" w:rsidRDefault="00A01943" w:rsidP="00A01943">
      <w:pPr>
        <w:rPr>
          <w:sz w:val="14"/>
        </w:rPr>
      </w:pPr>
      <w:r w:rsidRPr="00583657">
        <w:rPr>
          <w:b/>
          <w:bCs/>
          <w:sz w:val="14"/>
        </w:rPr>
        <w:t>Utilities Responses</w:t>
      </w:r>
    </w:p>
    <w:p w14:paraId="1794175A" w14:textId="77777777" w:rsidR="00A01943" w:rsidRPr="00583657" w:rsidRDefault="00A01943" w:rsidP="00583657">
      <w:pPr>
        <w:spacing w:after="120"/>
        <w:rPr>
          <w:sz w:val="14"/>
        </w:rPr>
      </w:pPr>
      <w:r w:rsidRPr="00583657">
        <w:rPr>
          <w:sz w:val="14"/>
        </w:rPr>
        <w:t xml:space="preserve">For each scenario, a utility evaluates requests to change inverter nameplate pursuant to Rule 21, including Sections F.2.a, F.2.b and/or F.2.d.  </w:t>
      </w:r>
    </w:p>
    <w:p w14:paraId="2750942A" w14:textId="77777777" w:rsidR="00A01943" w:rsidRPr="00583657" w:rsidRDefault="00A01943" w:rsidP="00583657">
      <w:pPr>
        <w:pStyle w:val="ListParagraph"/>
        <w:spacing w:after="120"/>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PG&amp;E</w:t>
      </w:r>
      <w:r w:rsidRPr="00583657">
        <w:rPr>
          <w:sz w:val="14"/>
        </w:rPr>
        <w:t>:  For Scenarios 1 and 2, PG&amp;E will not require withdrawal and a new application.  For Scenario 3, PG&amp;E will require withdrawal and a new application, but is open to more discussion. For Scenario 4, PG&amp;E will require a new application as the change may trigger mitigation.</w:t>
      </w:r>
    </w:p>
    <w:p w14:paraId="5950D923" w14:textId="77777777" w:rsidR="00A01943" w:rsidRPr="00583657" w:rsidRDefault="00A01943" w:rsidP="00583657">
      <w:pPr>
        <w:pStyle w:val="ListParagraph"/>
        <w:spacing w:after="120"/>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SCE</w:t>
      </w:r>
      <w:r w:rsidRPr="00583657">
        <w:rPr>
          <w:sz w:val="14"/>
        </w:rPr>
        <w:t xml:space="preserve">:  For customer requests to decrease nameplate (Scenarios 1, 2 &amp; 3), SCE evaluates the request applying a Material Modification standard to determine whether a new application is required. </w:t>
      </w:r>
    </w:p>
    <w:p w14:paraId="5883EBCA" w14:textId="0C4D6F74" w:rsidR="00A01943" w:rsidRPr="00583657" w:rsidRDefault="00A01943" w:rsidP="00583657">
      <w:pPr>
        <w:pStyle w:val="ListParagraph"/>
        <w:spacing w:after="120"/>
        <w:ind w:hanging="360"/>
        <w:rPr>
          <w:sz w:val="14"/>
        </w:rPr>
      </w:pPr>
      <w:r w:rsidRPr="00583657">
        <w:rPr>
          <w:rFonts w:ascii="Symbol" w:hAnsi="Symbol"/>
          <w:sz w:val="14"/>
        </w:rPr>
        <w:t></w:t>
      </w:r>
      <w:r w:rsidRPr="00583657">
        <w:rPr>
          <w:rFonts w:ascii="Times New Roman" w:hAnsi="Times New Roman"/>
          <w:sz w:val="6"/>
          <w:szCs w:val="14"/>
        </w:rPr>
        <w:t xml:space="preserve">        </w:t>
      </w:r>
      <w:r w:rsidRPr="00583657">
        <w:rPr>
          <w:sz w:val="14"/>
          <w:u w:val="single"/>
        </w:rPr>
        <w:t>SDG&amp;E</w:t>
      </w:r>
      <w:r w:rsidRPr="00583657">
        <w:rPr>
          <w:sz w:val="14"/>
        </w:rPr>
        <w:t>: For Scenarios 1, 2, and 3, SDG&amp;E will not require withdrawal and a new application.  For Scenario 4, SDG&amp;E requires a new application as the change may trigger mitigation.</w:t>
      </w:r>
    </w:p>
    <w:p w14:paraId="1CF87984" w14:textId="1321C15F" w:rsidR="00A01943" w:rsidRPr="00583657" w:rsidRDefault="00A01943" w:rsidP="00A01943">
      <w:pPr>
        <w:rPr>
          <w:sz w:val="14"/>
        </w:rPr>
      </w:pPr>
      <w:r w:rsidRPr="00583657">
        <w:rPr>
          <w:sz w:val="14"/>
        </w:rPr>
        <w:t>Best,</w:t>
      </w:r>
    </w:p>
    <w:p w14:paraId="035A7215" w14:textId="77777777" w:rsidR="00A01943" w:rsidRPr="00583657" w:rsidRDefault="00A01943" w:rsidP="00A01943">
      <w:pPr>
        <w:rPr>
          <w:sz w:val="14"/>
        </w:rPr>
      </w:pPr>
      <w:r w:rsidRPr="00583657">
        <w:rPr>
          <w:sz w:val="14"/>
        </w:rPr>
        <w:t>Matthew Plummer</w:t>
      </w:r>
    </w:p>
    <w:p w14:paraId="3FD73ACA" w14:textId="77777777" w:rsidR="00A01943" w:rsidRPr="00583657" w:rsidRDefault="00A01943" w:rsidP="00A01943">
      <w:pPr>
        <w:rPr>
          <w:sz w:val="14"/>
        </w:rPr>
      </w:pPr>
      <w:r w:rsidRPr="00583657">
        <w:rPr>
          <w:sz w:val="14"/>
        </w:rPr>
        <w:t>Regulatory Relations</w:t>
      </w:r>
    </w:p>
    <w:p w14:paraId="3EF722D6" w14:textId="77777777" w:rsidR="00A01943" w:rsidRPr="00583657" w:rsidRDefault="00A01943" w:rsidP="00A01943">
      <w:pPr>
        <w:rPr>
          <w:sz w:val="14"/>
        </w:rPr>
      </w:pPr>
      <w:r w:rsidRPr="00583657">
        <w:rPr>
          <w:sz w:val="14"/>
        </w:rPr>
        <w:t>Pacific Gas and Electric Company</w:t>
      </w:r>
    </w:p>
    <w:p w14:paraId="2A004236" w14:textId="77777777" w:rsidR="00A01943" w:rsidRPr="00583657" w:rsidRDefault="00A01943" w:rsidP="00A01943">
      <w:pPr>
        <w:rPr>
          <w:sz w:val="14"/>
        </w:rPr>
      </w:pPr>
      <w:r w:rsidRPr="00583657">
        <w:rPr>
          <w:sz w:val="14"/>
        </w:rPr>
        <w:t> </w:t>
      </w:r>
    </w:p>
    <w:p w14:paraId="66F8DC9E" w14:textId="77777777" w:rsidR="00A01943" w:rsidRPr="00583657" w:rsidRDefault="00A01943" w:rsidP="00A01943">
      <w:pPr>
        <w:rPr>
          <w:sz w:val="14"/>
        </w:rPr>
      </w:pPr>
      <w:r w:rsidRPr="00583657">
        <w:rPr>
          <w:sz w:val="14"/>
        </w:rPr>
        <w:t xml:space="preserve">77 Beale Street, </w:t>
      </w:r>
      <w:proofErr w:type="spellStart"/>
      <w:r w:rsidRPr="00583657">
        <w:rPr>
          <w:sz w:val="14"/>
        </w:rPr>
        <w:t>Rm</w:t>
      </w:r>
      <w:proofErr w:type="spellEnd"/>
      <w:r w:rsidRPr="00583657">
        <w:rPr>
          <w:sz w:val="14"/>
        </w:rPr>
        <w:t xml:space="preserve"> 2338</w:t>
      </w:r>
    </w:p>
    <w:p w14:paraId="743492C8" w14:textId="77777777" w:rsidR="00A01943" w:rsidRPr="00583657" w:rsidRDefault="00A01943" w:rsidP="00A01943">
      <w:pPr>
        <w:rPr>
          <w:sz w:val="14"/>
        </w:rPr>
      </w:pPr>
      <w:r w:rsidRPr="00583657">
        <w:rPr>
          <w:sz w:val="14"/>
        </w:rPr>
        <w:t>San Francisco, CA 94105</w:t>
      </w:r>
    </w:p>
    <w:p w14:paraId="20FA744C" w14:textId="2BBC3520" w:rsidR="00A01943" w:rsidRDefault="00A01943">
      <w:pPr>
        <w:rPr>
          <w:sz w:val="14"/>
        </w:rPr>
      </w:pPr>
      <w:r w:rsidRPr="00583657">
        <w:rPr>
          <w:sz w:val="14"/>
        </w:rPr>
        <w:t>(415) 973-3477</w:t>
      </w:r>
    </w:p>
    <w:p w14:paraId="5DC74277" w14:textId="25449892" w:rsidR="00AC5885" w:rsidRDefault="00AC5885" w:rsidP="00AC5885">
      <w:pPr>
        <w:jc w:val="center"/>
        <w:rPr>
          <w:b/>
        </w:rPr>
      </w:pPr>
      <w:r w:rsidRPr="00F72317">
        <w:rPr>
          <w:rFonts w:asciiTheme="majorHAnsi" w:hAnsiTheme="majorHAnsi"/>
          <w:b/>
          <w:color w:val="000000"/>
        </w:rPr>
        <w:lastRenderedPageBreak/>
        <w:t xml:space="preserve">Appendix </w:t>
      </w:r>
      <w:r>
        <w:rPr>
          <w:rFonts w:asciiTheme="majorHAnsi" w:hAnsiTheme="majorHAnsi"/>
          <w:b/>
          <w:color w:val="000000"/>
        </w:rPr>
        <w:t>E</w:t>
      </w:r>
      <w:r w:rsidRPr="00F72317">
        <w:rPr>
          <w:rFonts w:asciiTheme="majorHAnsi" w:hAnsiTheme="majorHAnsi"/>
          <w:b/>
          <w:color w:val="000000"/>
        </w:rPr>
        <w:t xml:space="preserve">: </w:t>
      </w:r>
      <w:r>
        <w:rPr>
          <w:rFonts w:asciiTheme="majorHAnsi" w:hAnsiTheme="majorHAnsi"/>
          <w:b/>
          <w:color w:val="000000"/>
        </w:rPr>
        <w:t>Material for Nov 30 WG Meeting</w:t>
      </w:r>
    </w:p>
    <w:p w14:paraId="0BFEE9D8" w14:textId="77777777" w:rsidR="00AC5885" w:rsidRPr="00AC5885" w:rsidRDefault="00AC5885" w:rsidP="00AC5885">
      <w:pPr>
        <w:rPr>
          <w:b/>
        </w:rPr>
      </w:pPr>
      <w:r w:rsidRPr="00AC5885">
        <w:rPr>
          <w:b/>
        </w:rPr>
        <w:t xml:space="preserve">Rule 21 </w:t>
      </w:r>
      <w:proofErr w:type="gramStart"/>
      <w:r w:rsidRPr="00AC5885">
        <w:rPr>
          <w:b/>
        </w:rPr>
        <w:t>Reform</w:t>
      </w:r>
      <w:proofErr w:type="gramEnd"/>
    </w:p>
    <w:p w14:paraId="4D5DA842" w14:textId="77777777" w:rsidR="00AC5885" w:rsidRPr="00AC5885" w:rsidRDefault="00AC5885" w:rsidP="00AC5885">
      <w:pPr>
        <w:rPr>
          <w:b/>
        </w:rPr>
      </w:pPr>
      <w:r w:rsidRPr="00AC5885">
        <w:rPr>
          <w:b/>
        </w:rPr>
        <w:t>Material Modification Definition</w:t>
      </w:r>
    </w:p>
    <w:p w14:paraId="1D0CCCF0" w14:textId="77777777" w:rsidR="00AC5885" w:rsidRPr="00AC5885" w:rsidRDefault="00AC5885" w:rsidP="00AC5885">
      <w:pPr>
        <w:rPr>
          <w:sz w:val="18"/>
        </w:rPr>
      </w:pPr>
    </w:p>
    <w:p w14:paraId="0F1EC851" w14:textId="77777777" w:rsidR="00AC5885" w:rsidRPr="00AC5885" w:rsidRDefault="00AC5885" w:rsidP="00AC5885">
      <w:pPr>
        <w:rPr>
          <w:sz w:val="18"/>
        </w:rPr>
      </w:pPr>
      <w:r w:rsidRPr="00AC5885">
        <w:rPr>
          <w:sz w:val="18"/>
        </w:rPr>
        <w:t>How should the CPUC clarify the definition of “material modification” for purposes of requiring a customer to resubmit the interconnection application?</w:t>
      </w:r>
    </w:p>
    <w:p w14:paraId="2AF77696" w14:textId="77777777" w:rsidR="00AC5885" w:rsidRPr="00AC5885" w:rsidRDefault="00AC5885" w:rsidP="00AC5885">
      <w:pPr>
        <w:rPr>
          <w:sz w:val="18"/>
        </w:rPr>
      </w:pPr>
    </w:p>
    <w:p w14:paraId="2BA8D162" w14:textId="68BFDDD1" w:rsidR="00AC5885" w:rsidRPr="00AC5885" w:rsidRDefault="00AC5885" w:rsidP="00AC5885">
      <w:pPr>
        <w:rPr>
          <w:b/>
          <w:sz w:val="18"/>
        </w:rPr>
      </w:pPr>
      <w:r w:rsidRPr="00AC5885">
        <w:rPr>
          <w:b/>
          <w:sz w:val="18"/>
        </w:rPr>
        <w:t>Types of Changes</w:t>
      </w:r>
    </w:p>
    <w:p w14:paraId="0675679C" w14:textId="77777777" w:rsidR="00AC5885" w:rsidRPr="00AC5885" w:rsidRDefault="00AC5885" w:rsidP="00AC5885">
      <w:pPr>
        <w:rPr>
          <w:sz w:val="18"/>
        </w:rPr>
      </w:pPr>
      <w:r w:rsidRPr="00AC5885">
        <w:rPr>
          <w:sz w:val="18"/>
        </w:rPr>
        <w:t>1. Reductions in system size</w:t>
      </w:r>
    </w:p>
    <w:p w14:paraId="61147854" w14:textId="77777777" w:rsidR="00AC5885" w:rsidRPr="00AC5885" w:rsidRDefault="00AC5885" w:rsidP="00AC5885">
      <w:pPr>
        <w:ind w:left="1080" w:hanging="360"/>
        <w:rPr>
          <w:sz w:val="18"/>
        </w:rPr>
      </w:pPr>
      <w:r w:rsidRPr="00AC5885">
        <w:rPr>
          <w:sz w:val="18"/>
        </w:rPr>
        <w:t>A. No mitigation or customer pays mitigation – all three IOUs are okay on this now</w:t>
      </w:r>
    </w:p>
    <w:p w14:paraId="6959123E" w14:textId="77777777" w:rsidR="00AC5885" w:rsidRPr="00AC5885" w:rsidRDefault="00AC5885" w:rsidP="00AC5885">
      <w:pPr>
        <w:ind w:left="1080" w:hanging="360"/>
        <w:rPr>
          <w:sz w:val="18"/>
        </w:rPr>
      </w:pPr>
      <w:r w:rsidRPr="00AC5885">
        <w:rPr>
          <w:sz w:val="18"/>
        </w:rPr>
        <w:t xml:space="preserve">B. Changes to avoid mitigation – when should this be allowed without losing queue position? </w:t>
      </w:r>
    </w:p>
    <w:p w14:paraId="191DCBAA" w14:textId="77777777" w:rsidR="00AC5885" w:rsidRPr="00AC5885" w:rsidRDefault="00AC5885" w:rsidP="00AC5885">
      <w:pPr>
        <w:rPr>
          <w:sz w:val="18"/>
        </w:rPr>
      </w:pPr>
    </w:p>
    <w:p w14:paraId="271AE4E4" w14:textId="77777777" w:rsidR="00AC5885" w:rsidRPr="00AC5885" w:rsidRDefault="00AC5885" w:rsidP="00AC5885">
      <w:pPr>
        <w:rPr>
          <w:sz w:val="18"/>
        </w:rPr>
      </w:pPr>
      <w:r w:rsidRPr="00AC5885">
        <w:rPr>
          <w:sz w:val="18"/>
        </w:rPr>
        <w:t>2. Minor increases in system size</w:t>
      </w:r>
    </w:p>
    <w:p w14:paraId="4DCBD824" w14:textId="77777777" w:rsidR="00AC5885" w:rsidRPr="00AC5885" w:rsidRDefault="00AC5885" w:rsidP="00AC5885">
      <w:pPr>
        <w:rPr>
          <w:sz w:val="18"/>
        </w:rPr>
      </w:pPr>
      <w:r w:rsidRPr="00AC5885">
        <w:rPr>
          <w:sz w:val="18"/>
        </w:rPr>
        <w:tab/>
        <w:t>Should increases up to X% be allowed?</w:t>
      </w:r>
    </w:p>
    <w:p w14:paraId="202FCAB3" w14:textId="77777777" w:rsidR="00AC5885" w:rsidRPr="00AC5885" w:rsidRDefault="00AC5885" w:rsidP="00AC5885">
      <w:pPr>
        <w:rPr>
          <w:sz w:val="18"/>
        </w:rPr>
      </w:pPr>
      <w:r w:rsidRPr="00AC5885">
        <w:rPr>
          <w:sz w:val="18"/>
        </w:rPr>
        <w:tab/>
        <w:t>Does this need go away if we always judge system size by nameplate rating?</w:t>
      </w:r>
    </w:p>
    <w:p w14:paraId="648004E6" w14:textId="77777777" w:rsidR="00AC5885" w:rsidRPr="00AC5885" w:rsidRDefault="00AC5885" w:rsidP="00AC5885">
      <w:pPr>
        <w:rPr>
          <w:sz w:val="18"/>
        </w:rPr>
      </w:pPr>
    </w:p>
    <w:p w14:paraId="1E48DD86" w14:textId="77777777" w:rsidR="00AC5885" w:rsidRPr="00AC5885" w:rsidRDefault="00AC5885" w:rsidP="00AC5885">
      <w:pPr>
        <w:rPr>
          <w:sz w:val="18"/>
        </w:rPr>
      </w:pPr>
      <w:r w:rsidRPr="00AC5885">
        <w:rPr>
          <w:sz w:val="18"/>
        </w:rPr>
        <w:t>3. Changing equipment that is electrically similar or equivalent</w:t>
      </w:r>
    </w:p>
    <w:p w14:paraId="6C671BB8" w14:textId="77777777" w:rsidR="00AC5885" w:rsidRPr="00AC5885" w:rsidRDefault="00AC5885" w:rsidP="00AC5885">
      <w:pPr>
        <w:ind w:left="990" w:hanging="270"/>
        <w:rPr>
          <w:sz w:val="18"/>
        </w:rPr>
      </w:pPr>
      <w:r w:rsidRPr="00AC5885">
        <w:rPr>
          <w:sz w:val="18"/>
        </w:rPr>
        <w:t>A. Always cut and dry looking at changes to nameplate rating and short circuit duty? How much variation should be allowed?</w:t>
      </w:r>
    </w:p>
    <w:p w14:paraId="4A9F4AF8" w14:textId="77777777" w:rsidR="00AC5885" w:rsidRPr="00AC5885" w:rsidRDefault="00AC5885" w:rsidP="00AC5885">
      <w:pPr>
        <w:rPr>
          <w:sz w:val="18"/>
        </w:rPr>
      </w:pPr>
      <w:r w:rsidRPr="00AC5885">
        <w:rPr>
          <w:sz w:val="18"/>
        </w:rPr>
        <w:tab/>
        <w:t>B. What about storage? What are the specs that need to be looked at?</w:t>
      </w:r>
    </w:p>
    <w:p w14:paraId="5C0BDFF0" w14:textId="77777777" w:rsidR="00AC5885" w:rsidRPr="00AC5885" w:rsidRDefault="00AC5885" w:rsidP="00AC5885">
      <w:pPr>
        <w:rPr>
          <w:sz w:val="18"/>
        </w:rPr>
      </w:pPr>
    </w:p>
    <w:p w14:paraId="4E9ADDD7" w14:textId="77777777" w:rsidR="00AC5885" w:rsidRPr="00AC5885" w:rsidRDefault="00AC5885" w:rsidP="00AC5885">
      <w:pPr>
        <w:rPr>
          <w:sz w:val="18"/>
        </w:rPr>
      </w:pPr>
      <w:r w:rsidRPr="00AC5885">
        <w:rPr>
          <w:sz w:val="18"/>
        </w:rPr>
        <w:t>4. Changing the operational profile of a smart inverter or a charge controller</w:t>
      </w:r>
    </w:p>
    <w:p w14:paraId="263D7146" w14:textId="77777777" w:rsidR="00AC5885" w:rsidRPr="00AC5885" w:rsidRDefault="00AC5885" w:rsidP="00AC5885">
      <w:pPr>
        <w:rPr>
          <w:sz w:val="18"/>
        </w:rPr>
      </w:pPr>
    </w:p>
    <w:p w14:paraId="1E2F610D" w14:textId="77777777" w:rsidR="00AC5885" w:rsidRPr="00AC5885" w:rsidRDefault="00AC5885" w:rsidP="00AC5885">
      <w:pPr>
        <w:rPr>
          <w:sz w:val="18"/>
        </w:rPr>
      </w:pPr>
      <w:r w:rsidRPr="00AC5885">
        <w:rPr>
          <w:sz w:val="18"/>
        </w:rPr>
        <w:t>5. Minor design changes</w:t>
      </w:r>
    </w:p>
    <w:p w14:paraId="1AAAE24D" w14:textId="77777777" w:rsidR="00AC5885" w:rsidRPr="00AC5885" w:rsidRDefault="00AC5885" w:rsidP="00AC5885">
      <w:pPr>
        <w:rPr>
          <w:sz w:val="18"/>
        </w:rPr>
      </w:pPr>
      <w:r w:rsidRPr="00AC5885">
        <w:rPr>
          <w:sz w:val="18"/>
        </w:rPr>
        <w:tab/>
        <w:t>Is this only about changing the point of interconnection?</w:t>
      </w:r>
    </w:p>
    <w:p w14:paraId="28B86EC1" w14:textId="77777777" w:rsidR="00AC5885" w:rsidRPr="00AC5885" w:rsidRDefault="00AC5885" w:rsidP="00AC5885">
      <w:pPr>
        <w:tabs>
          <w:tab w:val="left" w:pos="720"/>
        </w:tabs>
        <w:ind w:left="720"/>
        <w:rPr>
          <w:sz w:val="18"/>
        </w:rPr>
      </w:pPr>
      <w:r w:rsidRPr="00AC5885">
        <w:rPr>
          <w:sz w:val="18"/>
        </w:rPr>
        <w:t>Changing the location of inverters or other balance of systems equipment is not material</w:t>
      </w:r>
    </w:p>
    <w:p w14:paraId="467DA03B" w14:textId="77777777" w:rsidR="00AC5885" w:rsidRPr="00AC5885" w:rsidRDefault="00AC5885" w:rsidP="00AC5885">
      <w:pPr>
        <w:rPr>
          <w:sz w:val="18"/>
        </w:rPr>
      </w:pPr>
    </w:p>
    <w:p w14:paraId="1F9737E9" w14:textId="06BBABF1" w:rsidR="00AC5885" w:rsidRPr="00AC5885" w:rsidRDefault="00AC5885" w:rsidP="00AC5885">
      <w:pPr>
        <w:rPr>
          <w:b/>
          <w:sz w:val="18"/>
        </w:rPr>
      </w:pPr>
      <w:r w:rsidRPr="00AC5885">
        <w:rPr>
          <w:b/>
          <w:sz w:val="18"/>
        </w:rPr>
        <w:t>Other Issues</w:t>
      </w:r>
    </w:p>
    <w:p w14:paraId="07489C59" w14:textId="77777777" w:rsidR="00AC5885" w:rsidRPr="00AC5885" w:rsidRDefault="00AC5885" w:rsidP="00AC5885">
      <w:pPr>
        <w:rPr>
          <w:sz w:val="18"/>
        </w:rPr>
      </w:pPr>
      <w:r w:rsidRPr="00AC5885">
        <w:rPr>
          <w:sz w:val="18"/>
        </w:rPr>
        <w:t>1. Fees for restudy – Billed for actual costs after the initial study if restudy is required</w:t>
      </w:r>
    </w:p>
    <w:p w14:paraId="07A2A660" w14:textId="77777777" w:rsidR="00AC5885" w:rsidRPr="00AC5885" w:rsidRDefault="00AC5885" w:rsidP="00AC5885">
      <w:pPr>
        <w:rPr>
          <w:sz w:val="18"/>
        </w:rPr>
      </w:pPr>
    </w:p>
    <w:p w14:paraId="05D57284" w14:textId="77777777" w:rsidR="00AC5885" w:rsidRPr="00AC5885" w:rsidRDefault="00AC5885" w:rsidP="00AC5885">
      <w:pPr>
        <w:rPr>
          <w:sz w:val="18"/>
        </w:rPr>
      </w:pPr>
      <w:r w:rsidRPr="00AC5885">
        <w:rPr>
          <w:sz w:val="18"/>
        </w:rPr>
        <w:t>2. Best practices at results meeting</w:t>
      </w:r>
    </w:p>
    <w:p w14:paraId="6896E9EC" w14:textId="77777777" w:rsidR="00AC5885" w:rsidRPr="00AC5885" w:rsidRDefault="00AC5885" w:rsidP="00AC5885">
      <w:pPr>
        <w:rPr>
          <w:sz w:val="18"/>
        </w:rPr>
      </w:pPr>
      <w:r w:rsidRPr="00AC5885">
        <w:rPr>
          <w:sz w:val="18"/>
        </w:rPr>
        <w:tab/>
        <w:t>When to offer information on ways to avoid mitigation</w:t>
      </w:r>
    </w:p>
    <w:p w14:paraId="0098F6E1" w14:textId="77777777" w:rsidR="00AC5885" w:rsidRPr="00AC5885" w:rsidRDefault="00AC5885" w:rsidP="00AC5885">
      <w:pPr>
        <w:rPr>
          <w:sz w:val="18"/>
        </w:rPr>
      </w:pPr>
    </w:p>
    <w:p w14:paraId="4BEA72EA" w14:textId="23AD8DA5" w:rsidR="00AC5885" w:rsidRPr="00AC5885" w:rsidRDefault="00AC5885" w:rsidP="00AC5885">
      <w:pPr>
        <w:rPr>
          <w:b/>
          <w:sz w:val="18"/>
        </w:rPr>
      </w:pPr>
      <w:r w:rsidRPr="00AC5885">
        <w:rPr>
          <w:b/>
          <w:sz w:val="18"/>
        </w:rPr>
        <w:t>Discussion Draft of Proposal</w:t>
      </w:r>
    </w:p>
    <w:p w14:paraId="7C476524" w14:textId="77777777" w:rsidR="00AC5885" w:rsidRPr="00AC5885" w:rsidRDefault="00AC5885" w:rsidP="00AC5885">
      <w:pPr>
        <w:rPr>
          <w:sz w:val="18"/>
        </w:rPr>
      </w:pPr>
      <w:r w:rsidRPr="00AC5885">
        <w:rPr>
          <w:sz w:val="18"/>
        </w:rPr>
        <w:t>These items are offered for the purpose of facilitating discussion. They have not been approved by solar and storage providers or any other stakeholders.</w:t>
      </w:r>
    </w:p>
    <w:p w14:paraId="5A000E69" w14:textId="77777777" w:rsidR="00AC5885" w:rsidRPr="00AC5885" w:rsidRDefault="00AC5885" w:rsidP="00AC5885">
      <w:pPr>
        <w:rPr>
          <w:sz w:val="18"/>
        </w:rPr>
      </w:pPr>
    </w:p>
    <w:p w14:paraId="4F35C768" w14:textId="77777777" w:rsidR="00AC5885" w:rsidRPr="00AC5885" w:rsidRDefault="00AC5885" w:rsidP="00AC5885">
      <w:pPr>
        <w:pStyle w:val="ListParagraph"/>
        <w:numPr>
          <w:ilvl w:val="0"/>
          <w:numId w:val="37"/>
        </w:numPr>
        <w:contextualSpacing/>
        <w:rPr>
          <w:sz w:val="18"/>
        </w:rPr>
      </w:pPr>
      <w:r w:rsidRPr="00AC5885">
        <w:rPr>
          <w:sz w:val="18"/>
        </w:rPr>
        <w:t>Decreases in system size should be allowed if no mitigation is required or if the customer agrees to pay for mitigation.</w:t>
      </w:r>
    </w:p>
    <w:p w14:paraId="5D2FC4E2" w14:textId="77777777" w:rsidR="00AC5885" w:rsidRPr="00AC5885" w:rsidRDefault="00AC5885" w:rsidP="00AC5885">
      <w:pPr>
        <w:rPr>
          <w:sz w:val="18"/>
        </w:rPr>
      </w:pPr>
    </w:p>
    <w:p w14:paraId="0CA105B8" w14:textId="77777777" w:rsidR="00AC5885" w:rsidRPr="00AC5885" w:rsidRDefault="00AC5885" w:rsidP="00AC5885">
      <w:pPr>
        <w:pStyle w:val="ListParagraph"/>
        <w:numPr>
          <w:ilvl w:val="0"/>
          <w:numId w:val="37"/>
        </w:numPr>
        <w:contextualSpacing/>
        <w:rPr>
          <w:sz w:val="18"/>
        </w:rPr>
      </w:pPr>
      <w:r w:rsidRPr="00AC5885">
        <w:rPr>
          <w:sz w:val="18"/>
        </w:rPr>
        <w:t>Decreases in system size should be allowed without losing queue position if the initial study finds that the decrease would avoid the need for mitigation.</w:t>
      </w:r>
    </w:p>
    <w:p w14:paraId="186521BD" w14:textId="77777777" w:rsidR="00AC5885" w:rsidRPr="00AC5885" w:rsidRDefault="00AC5885" w:rsidP="00AC5885">
      <w:pPr>
        <w:rPr>
          <w:sz w:val="18"/>
        </w:rPr>
      </w:pPr>
    </w:p>
    <w:p w14:paraId="7ACC047B" w14:textId="77777777" w:rsidR="00AC5885" w:rsidRPr="00AC5885" w:rsidRDefault="00AC5885" w:rsidP="00AC5885">
      <w:pPr>
        <w:pStyle w:val="ListParagraph"/>
        <w:numPr>
          <w:ilvl w:val="0"/>
          <w:numId w:val="37"/>
        </w:numPr>
        <w:contextualSpacing/>
        <w:rPr>
          <w:sz w:val="18"/>
        </w:rPr>
      </w:pPr>
      <w:r w:rsidRPr="00AC5885">
        <w:rPr>
          <w:sz w:val="18"/>
        </w:rPr>
        <w:t>Decreases in system size may be allowed that remove the need for mitigation without losing queue position if only minor restudy is required to confirm the decrease will remove the need for mitigation, at the discretion of the utility.</w:t>
      </w:r>
    </w:p>
    <w:p w14:paraId="7FD4E50E" w14:textId="77777777" w:rsidR="00AC5885" w:rsidRPr="00AC5885" w:rsidRDefault="00AC5885" w:rsidP="00AC5885">
      <w:pPr>
        <w:rPr>
          <w:sz w:val="18"/>
        </w:rPr>
      </w:pPr>
    </w:p>
    <w:p w14:paraId="25644C63" w14:textId="77777777" w:rsidR="00AC5885" w:rsidRPr="00AC5885" w:rsidRDefault="00AC5885" w:rsidP="00AC5885">
      <w:pPr>
        <w:pStyle w:val="ListParagraph"/>
        <w:numPr>
          <w:ilvl w:val="0"/>
          <w:numId w:val="37"/>
        </w:numPr>
        <w:contextualSpacing/>
        <w:rPr>
          <w:sz w:val="18"/>
        </w:rPr>
      </w:pPr>
      <w:r w:rsidRPr="00AC5885">
        <w:rPr>
          <w:sz w:val="18"/>
        </w:rPr>
        <w:t>System size should be determined by nameplate capacity.</w:t>
      </w:r>
    </w:p>
    <w:p w14:paraId="13D34703" w14:textId="77777777" w:rsidR="00AC5885" w:rsidRPr="00AC5885" w:rsidRDefault="00AC5885" w:rsidP="00AC5885">
      <w:pPr>
        <w:rPr>
          <w:sz w:val="18"/>
        </w:rPr>
      </w:pPr>
    </w:p>
    <w:p w14:paraId="2B57F7C9" w14:textId="77777777" w:rsidR="00AC5885" w:rsidRPr="00AC5885" w:rsidRDefault="00AC5885" w:rsidP="00AC5885">
      <w:pPr>
        <w:pStyle w:val="ListParagraph"/>
        <w:numPr>
          <w:ilvl w:val="0"/>
          <w:numId w:val="37"/>
        </w:numPr>
        <w:contextualSpacing/>
        <w:rPr>
          <w:sz w:val="18"/>
        </w:rPr>
      </w:pPr>
      <w:r w:rsidRPr="00AC5885">
        <w:rPr>
          <w:sz w:val="18"/>
        </w:rPr>
        <w:t>If operational settings for the inverter or storage device are proposed for purposes of staying within hosting capacity, the applicant may make changes to those settings that remove the need for mitigation without losing queue position, at the discretion of the utility.</w:t>
      </w:r>
    </w:p>
    <w:p w14:paraId="68C9AE9D" w14:textId="77777777" w:rsidR="00AC5885" w:rsidRPr="00AC5885" w:rsidRDefault="00AC5885" w:rsidP="00AC5885">
      <w:pPr>
        <w:rPr>
          <w:sz w:val="18"/>
        </w:rPr>
      </w:pPr>
    </w:p>
    <w:p w14:paraId="1C3C99A6" w14:textId="77777777" w:rsidR="00AC5885" w:rsidRPr="00AC5885" w:rsidRDefault="00AC5885" w:rsidP="00AC5885">
      <w:pPr>
        <w:pStyle w:val="ListParagraph"/>
        <w:numPr>
          <w:ilvl w:val="0"/>
          <w:numId w:val="37"/>
        </w:numPr>
        <w:contextualSpacing/>
        <w:rPr>
          <w:sz w:val="18"/>
        </w:rPr>
      </w:pPr>
      <w:r w:rsidRPr="00AC5885">
        <w:rPr>
          <w:sz w:val="18"/>
        </w:rPr>
        <w:t>Inverters can be changed if they do not increase system size or fault current more than 10%.</w:t>
      </w:r>
    </w:p>
    <w:p w14:paraId="5BDF3C43" w14:textId="77777777" w:rsidR="00AC5885" w:rsidRPr="00AC5885" w:rsidRDefault="00AC5885" w:rsidP="00AC5885">
      <w:pPr>
        <w:rPr>
          <w:sz w:val="18"/>
        </w:rPr>
      </w:pPr>
    </w:p>
    <w:p w14:paraId="1E17B0B5" w14:textId="77777777" w:rsidR="00AC5885" w:rsidRPr="00AC5885" w:rsidRDefault="00AC5885" w:rsidP="00AC5885">
      <w:pPr>
        <w:pStyle w:val="ListParagraph"/>
        <w:numPr>
          <w:ilvl w:val="0"/>
          <w:numId w:val="37"/>
        </w:numPr>
        <w:contextualSpacing/>
        <w:rPr>
          <w:sz w:val="18"/>
        </w:rPr>
      </w:pPr>
      <w:r w:rsidRPr="00AC5885">
        <w:rPr>
          <w:sz w:val="18"/>
        </w:rPr>
        <w:t>Storage devices can be changed if the charge or discharge capacity does not increase more than 10%.</w:t>
      </w:r>
    </w:p>
    <w:p w14:paraId="0DE2C57B" w14:textId="77777777" w:rsidR="00AC5885" w:rsidRPr="00AC5885" w:rsidRDefault="00AC5885" w:rsidP="00AC5885">
      <w:pPr>
        <w:rPr>
          <w:sz w:val="18"/>
        </w:rPr>
      </w:pPr>
    </w:p>
    <w:p w14:paraId="4FBEBC3A" w14:textId="77777777" w:rsidR="00AC5885" w:rsidRPr="00AC5885" w:rsidRDefault="00AC5885" w:rsidP="00AC5885">
      <w:pPr>
        <w:pStyle w:val="ListParagraph"/>
        <w:numPr>
          <w:ilvl w:val="0"/>
          <w:numId w:val="37"/>
        </w:numPr>
        <w:contextualSpacing/>
        <w:rPr>
          <w:sz w:val="18"/>
        </w:rPr>
      </w:pPr>
      <w:r w:rsidRPr="00AC5885">
        <w:rPr>
          <w:sz w:val="18"/>
        </w:rPr>
        <w:t>Other equipment can be changed if it is reasonably equivalent.</w:t>
      </w:r>
    </w:p>
    <w:p w14:paraId="6347CDEB" w14:textId="77777777" w:rsidR="00AC5885" w:rsidRPr="00AC5885" w:rsidRDefault="00AC5885" w:rsidP="00AC5885">
      <w:pPr>
        <w:rPr>
          <w:sz w:val="18"/>
        </w:rPr>
      </w:pPr>
    </w:p>
    <w:p w14:paraId="0FF7AD33" w14:textId="517460A3" w:rsidR="00AC5885" w:rsidRPr="00AC5885" w:rsidRDefault="00AC5885" w:rsidP="00AC5885">
      <w:pPr>
        <w:pStyle w:val="ListParagraph"/>
        <w:numPr>
          <w:ilvl w:val="0"/>
          <w:numId w:val="37"/>
        </w:numPr>
        <w:contextualSpacing/>
      </w:pPr>
      <w:r w:rsidRPr="00AC5885">
        <w:rPr>
          <w:sz w:val="18"/>
        </w:rPr>
        <w:t>The point of interconnection can be changed if it is within the same distribution system node. Changing the point of interconnection to a different node may be allowed without losing queue position at the discretion of the utility.</w:t>
      </w:r>
    </w:p>
    <w:p w14:paraId="208C4DCB" w14:textId="735E75F7" w:rsidR="00AC5885" w:rsidRDefault="00AC5885" w:rsidP="00AC5885">
      <w:pPr>
        <w:pStyle w:val="Heading1"/>
        <w:jc w:val="center"/>
        <w:rPr>
          <w:u w:val="single"/>
        </w:rPr>
      </w:pPr>
      <w:r w:rsidRPr="00F72317">
        <w:rPr>
          <w:rFonts w:asciiTheme="majorHAnsi" w:hAnsiTheme="majorHAnsi"/>
          <w:b/>
          <w:color w:val="000000"/>
        </w:rPr>
        <w:lastRenderedPageBreak/>
        <w:t xml:space="preserve">Appendix </w:t>
      </w:r>
      <w:r>
        <w:rPr>
          <w:rFonts w:asciiTheme="majorHAnsi" w:hAnsiTheme="majorHAnsi"/>
          <w:b/>
          <w:color w:val="000000"/>
        </w:rPr>
        <w:t>F</w:t>
      </w:r>
      <w:r w:rsidRPr="00F72317">
        <w:rPr>
          <w:rFonts w:asciiTheme="majorHAnsi" w:hAnsiTheme="majorHAnsi"/>
          <w:b/>
          <w:color w:val="000000"/>
        </w:rPr>
        <w:t xml:space="preserve">: </w:t>
      </w:r>
      <w:r>
        <w:rPr>
          <w:rFonts w:asciiTheme="majorHAnsi" w:hAnsiTheme="majorHAnsi"/>
          <w:b/>
          <w:color w:val="000000"/>
        </w:rPr>
        <w:t>Notes for Nov 30 WG Meeting</w:t>
      </w:r>
    </w:p>
    <w:p w14:paraId="49C7ED62" w14:textId="77777777" w:rsidR="00AC5885" w:rsidRPr="005C50D0" w:rsidRDefault="00AC5885" w:rsidP="00AC5885">
      <w:pPr>
        <w:pStyle w:val="Heading1"/>
        <w:rPr>
          <w:u w:val="single"/>
        </w:rPr>
      </w:pPr>
      <w:r w:rsidRPr="005C50D0">
        <w:rPr>
          <w:u w:val="single"/>
        </w:rPr>
        <w:t>Notes from Afternoon Session (Mary Claire Evans, CPUC and Will Chung, PG&amp;E)</w:t>
      </w:r>
    </w:p>
    <w:p w14:paraId="15EAAD9C" w14:textId="77777777" w:rsidR="00AC5885" w:rsidRPr="005C50D0" w:rsidRDefault="00AC5885" w:rsidP="00AC5885"/>
    <w:p w14:paraId="6712E773" w14:textId="77777777" w:rsidR="00AC5885" w:rsidRDefault="00AC5885" w:rsidP="00AC5885">
      <w:pPr>
        <w:rPr>
          <w:color w:val="000000" w:themeColor="text1"/>
        </w:rPr>
      </w:pPr>
      <w:r w:rsidRPr="00CA3A48">
        <w:rPr>
          <w:color w:val="FF0000"/>
        </w:rPr>
        <w:t>DRAFT – Represents technical discussion only.  Other considerations such as NEM eligibility, interconnection processing, costs and time to manage modifications, and forms/contracts</w:t>
      </w:r>
      <w:r>
        <w:rPr>
          <w:color w:val="FF0000"/>
        </w:rPr>
        <w:t xml:space="preserve"> were not taking into consideration when developing this draft</w:t>
      </w:r>
      <w:r w:rsidRPr="00CA3A48">
        <w:rPr>
          <w:color w:val="FF0000"/>
        </w:rPr>
        <w:t>.</w:t>
      </w:r>
    </w:p>
    <w:p w14:paraId="5B46264E" w14:textId="77777777" w:rsidR="00AC5885" w:rsidRPr="005C50D0" w:rsidRDefault="00AC5885" w:rsidP="00AC5885">
      <w:pPr>
        <w:rPr>
          <w:b/>
          <w:color w:val="000000" w:themeColor="text1"/>
        </w:rPr>
      </w:pPr>
      <w:r w:rsidRPr="005C50D0">
        <w:rPr>
          <w:b/>
          <w:color w:val="000000" w:themeColor="text1"/>
        </w:rPr>
        <w:t>Fast Track applicants who make the following modifications will likely maintain their queue position:</w:t>
      </w:r>
    </w:p>
    <w:p w14:paraId="2D385E05" w14:textId="77777777" w:rsidR="00AC5885" w:rsidRPr="000F586A" w:rsidRDefault="00AC5885" w:rsidP="00AC5885">
      <w:pPr>
        <w:pStyle w:val="ListParagraph"/>
        <w:numPr>
          <w:ilvl w:val="0"/>
          <w:numId w:val="42"/>
        </w:numPr>
        <w:spacing w:after="120"/>
        <w:contextualSpacing/>
        <w:rPr>
          <w:color w:val="000000" w:themeColor="text1"/>
        </w:rPr>
      </w:pPr>
      <w:r w:rsidRPr="000F586A">
        <w:rPr>
          <w:color w:val="000000" w:themeColor="text1"/>
        </w:rPr>
        <w:t>Reducing System size so long as no mitigation</w:t>
      </w:r>
      <w:r>
        <w:rPr>
          <w:color w:val="000000" w:themeColor="text1"/>
        </w:rPr>
        <w:t>s</w:t>
      </w:r>
      <w:r w:rsidRPr="000F586A">
        <w:rPr>
          <w:color w:val="000000" w:themeColor="text1"/>
        </w:rPr>
        <w:t xml:space="preserve"> </w:t>
      </w:r>
      <w:r>
        <w:rPr>
          <w:color w:val="000000" w:themeColor="text1"/>
        </w:rPr>
        <w:t>were</w:t>
      </w:r>
      <w:r w:rsidRPr="000F586A">
        <w:rPr>
          <w:color w:val="000000" w:themeColor="text1"/>
        </w:rPr>
        <w:t xml:space="preserve"> </w:t>
      </w:r>
      <w:r>
        <w:rPr>
          <w:color w:val="000000" w:themeColor="text1"/>
        </w:rPr>
        <w:t xml:space="preserve">originally </w:t>
      </w:r>
      <w:r w:rsidRPr="000F586A">
        <w:rPr>
          <w:color w:val="000000" w:themeColor="text1"/>
        </w:rPr>
        <w:t>required or the customer agrees to pay for mitigation</w:t>
      </w:r>
    </w:p>
    <w:p w14:paraId="667BBDEE" w14:textId="77777777" w:rsidR="00AC5885" w:rsidRDefault="00AC5885" w:rsidP="00AC5885">
      <w:pPr>
        <w:pStyle w:val="ListParagraph"/>
        <w:numPr>
          <w:ilvl w:val="0"/>
          <w:numId w:val="42"/>
        </w:numPr>
        <w:spacing w:after="120"/>
        <w:contextualSpacing/>
        <w:rPr>
          <w:color w:val="000000" w:themeColor="text1"/>
        </w:rPr>
      </w:pPr>
      <w:r w:rsidRPr="000F586A">
        <w:rPr>
          <w:color w:val="000000" w:themeColor="text1"/>
        </w:rPr>
        <w:t xml:space="preserve">Increasing equipment size so long as the size of the “limiting factor” equipment does not increase. The “limiting factor” is defined as </w:t>
      </w:r>
      <w:r>
        <w:rPr>
          <w:color w:val="000000" w:themeColor="text1"/>
        </w:rPr>
        <w:t xml:space="preserve">Inverter Nameplate for Inverter technology or </w:t>
      </w:r>
    </w:p>
    <w:p w14:paraId="343244AE" w14:textId="77777777" w:rsidR="00AC5885" w:rsidRDefault="00AC5885" w:rsidP="00AC5885">
      <w:pPr>
        <w:pStyle w:val="ListParagraph"/>
        <w:numPr>
          <w:ilvl w:val="1"/>
          <w:numId w:val="42"/>
        </w:numPr>
        <w:spacing w:after="120"/>
        <w:contextualSpacing/>
        <w:rPr>
          <w:color w:val="000000" w:themeColor="text1"/>
        </w:rPr>
      </w:pPr>
      <w:r>
        <w:rPr>
          <w:color w:val="000000" w:themeColor="text1"/>
        </w:rPr>
        <w:t>PG&amp;E &amp; SDG&amp;E: in the case of a PV system, the lessor of the Inverter Nameplate or the Aggregate CEC AC Rating of the PV Panels.</w:t>
      </w:r>
    </w:p>
    <w:p w14:paraId="07818C4C" w14:textId="77777777" w:rsidR="00AC5885" w:rsidRPr="000F586A" w:rsidRDefault="00AC5885" w:rsidP="00AC5885">
      <w:pPr>
        <w:pStyle w:val="ListParagraph"/>
        <w:numPr>
          <w:ilvl w:val="1"/>
          <w:numId w:val="42"/>
        </w:numPr>
        <w:spacing w:after="120"/>
        <w:contextualSpacing/>
        <w:rPr>
          <w:color w:val="000000" w:themeColor="text1"/>
        </w:rPr>
      </w:pPr>
      <w:r>
        <w:rPr>
          <w:color w:val="000000" w:themeColor="text1"/>
        </w:rPr>
        <w:t>SCE: in the case of a PV system, Inverter Nameplate.</w:t>
      </w:r>
    </w:p>
    <w:p w14:paraId="0FF00539" w14:textId="77777777" w:rsidR="00AC5885" w:rsidRPr="000F586A" w:rsidRDefault="00AC5885" w:rsidP="00AC5885">
      <w:pPr>
        <w:pStyle w:val="ListParagraph"/>
        <w:numPr>
          <w:ilvl w:val="0"/>
          <w:numId w:val="42"/>
        </w:numPr>
        <w:spacing w:after="120"/>
        <w:contextualSpacing/>
        <w:rPr>
          <w:color w:val="000000" w:themeColor="text1"/>
        </w:rPr>
      </w:pPr>
      <w:r w:rsidRPr="000F586A">
        <w:rPr>
          <w:color w:val="000000" w:themeColor="text1"/>
        </w:rPr>
        <w:t xml:space="preserve">Replacing equipment with “equivalent” models. (Note that </w:t>
      </w:r>
      <w:r>
        <w:rPr>
          <w:color w:val="000000" w:themeColor="text1"/>
        </w:rPr>
        <w:t>certain changes such as</w:t>
      </w:r>
      <w:r w:rsidRPr="000F586A">
        <w:rPr>
          <w:color w:val="000000" w:themeColor="text1"/>
        </w:rPr>
        <w:t xml:space="preserve"> connection type (e.g. delta, wye) </w:t>
      </w:r>
      <w:r>
        <w:rPr>
          <w:color w:val="000000" w:themeColor="text1"/>
        </w:rPr>
        <w:t>may</w:t>
      </w:r>
      <w:r w:rsidRPr="000F586A">
        <w:rPr>
          <w:color w:val="000000" w:themeColor="text1"/>
        </w:rPr>
        <w:t xml:space="preserve"> require restudy)</w:t>
      </w:r>
    </w:p>
    <w:p w14:paraId="0605055F" w14:textId="77777777" w:rsidR="00AC5885" w:rsidRPr="000F586A" w:rsidRDefault="00AC5885" w:rsidP="00AC5885">
      <w:pPr>
        <w:pStyle w:val="ListParagraph"/>
        <w:numPr>
          <w:ilvl w:val="1"/>
          <w:numId w:val="42"/>
        </w:numPr>
        <w:spacing w:after="120"/>
        <w:contextualSpacing/>
        <w:rPr>
          <w:color w:val="000000" w:themeColor="text1"/>
        </w:rPr>
      </w:pPr>
      <w:r w:rsidRPr="000F586A">
        <w:rPr>
          <w:color w:val="000000" w:themeColor="text1"/>
        </w:rPr>
        <w:t xml:space="preserve">For inverters, equivalency is defined as being certified and having the same or lower nameplate rating and fault current. </w:t>
      </w:r>
    </w:p>
    <w:p w14:paraId="09ABC0B1" w14:textId="77777777" w:rsidR="00AC5885" w:rsidRPr="000F586A" w:rsidRDefault="00AC5885" w:rsidP="00AC5885">
      <w:pPr>
        <w:pStyle w:val="ListParagraph"/>
        <w:numPr>
          <w:ilvl w:val="1"/>
          <w:numId w:val="42"/>
        </w:numPr>
        <w:spacing w:after="120"/>
        <w:contextualSpacing/>
        <w:rPr>
          <w:color w:val="000000" w:themeColor="text1"/>
        </w:rPr>
      </w:pPr>
      <w:r w:rsidRPr="000F586A">
        <w:rPr>
          <w:color w:val="000000" w:themeColor="text1"/>
        </w:rPr>
        <w:t xml:space="preserve">For batteries, equivalency is defined </w:t>
      </w:r>
      <w:r>
        <w:rPr>
          <w:color w:val="000000" w:themeColor="text1"/>
        </w:rPr>
        <w:t>having the same or lower kWh rating, and same operating profile.</w:t>
      </w:r>
    </w:p>
    <w:p w14:paraId="1D0BFC1A" w14:textId="77777777" w:rsidR="00AC5885" w:rsidRPr="00CA3A48" w:rsidRDefault="00AC5885" w:rsidP="00AC5885">
      <w:pPr>
        <w:pStyle w:val="ListParagraph"/>
        <w:numPr>
          <w:ilvl w:val="1"/>
          <w:numId w:val="42"/>
        </w:numPr>
        <w:spacing w:after="120"/>
        <w:contextualSpacing/>
        <w:rPr>
          <w:color w:val="000000" w:themeColor="text1"/>
        </w:rPr>
      </w:pPr>
      <w:r w:rsidRPr="000F586A">
        <w:rPr>
          <w:color w:val="000000" w:themeColor="text1"/>
        </w:rPr>
        <w:t xml:space="preserve">For transformers, equivalency is defined as </w:t>
      </w:r>
      <w:r>
        <w:rPr>
          <w:color w:val="000000" w:themeColor="text1"/>
        </w:rPr>
        <w:t>same connection type, same or higher impedance and same or lower capacity.</w:t>
      </w:r>
    </w:p>
    <w:p w14:paraId="6FD334F4" w14:textId="77777777" w:rsidR="00AC5885" w:rsidRPr="005C50D0" w:rsidRDefault="00AC5885" w:rsidP="00AC5885">
      <w:pPr>
        <w:rPr>
          <w:b/>
          <w:color w:val="000000" w:themeColor="text1"/>
        </w:rPr>
      </w:pPr>
      <w:r w:rsidRPr="005C50D0">
        <w:rPr>
          <w:b/>
          <w:color w:val="000000" w:themeColor="text1"/>
        </w:rPr>
        <w:t>Fast Track applicants who make the following modifications will likely lose their queue position:</w:t>
      </w:r>
    </w:p>
    <w:p w14:paraId="14A367BC" w14:textId="77777777" w:rsidR="00AC5885" w:rsidRPr="00CA3A48" w:rsidRDefault="00AC5885" w:rsidP="00AC5885">
      <w:pPr>
        <w:pStyle w:val="ListParagraph"/>
        <w:numPr>
          <w:ilvl w:val="0"/>
          <w:numId w:val="40"/>
        </w:numPr>
        <w:spacing w:after="120"/>
        <w:contextualSpacing/>
        <w:rPr>
          <w:color w:val="000000" w:themeColor="text1"/>
        </w:rPr>
      </w:pPr>
      <w:r w:rsidRPr="000F586A">
        <w:rPr>
          <w:color w:val="000000" w:themeColor="text1"/>
        </w:rPr>
        <w:t xml:space="preserve">Changing the Point of Interconnection </w:t>
      </w:r>
      <w:r>
        <w:rPr>
          <w:color w:val="000000" w:themeColor="text1"/>
        </w:rPr>
        <w:t>(POI)</w:t>
      </w:r>
    </w:p>
    <w:p w14:paraId="5BCF4AC5" w14:textId="77777777" w:rsidR="00AC5885" w:rsidRPr="000F586A" w:rsidRDefault="00AC5885" w:rsidP="00AC5885">
      <w:pPr>
        <w:pStyle w:val="ListParagraph"/>
        <w:numPr>
          <w:ilvl w:val="1"/>
          <w:numId w:val="40"/>
        </w:numPr>
        <w:spacing w:after="120"/>
        <w:contextualSpacing/>
        <w:rPr>
          <w:color w:val="000000" w:themeColor="text1"/>
        </w:rPr>
      </w:pPr>
      <w:r w:rsidRPr="000F586A">
        <w:rPr>
          <w:color w:val="000000" w:themeColor="text1"/>
        </w:rPr>
        <w:t xml:space="preserve">POI changes </w:t>
      </w:r>
      <w:r>
        <w:rPr>
          <w:color w:val="000000" w:themeColor="text1"/>
        </w:rPr>
        <w:t xml:space="preserve">within the interconnection request’s parcel (i.e. moving it from one side of the building to another area within the building) </w:t>
      </w:r>
      <w:r w:rsidRPr="000F586A">
        <w:rPr>
          <w:color w:val="000000" w:themeColor="text1"/>
        </w:rPr>
        <w:t>are often resolved in the</w:t>
      </w:r>
      <w:r>
        <w:rPr>
          <w:color w:val="000000" w:themeColor="text1"/>
        </w:rPr>
        <w:t xml:space="preserve"> </w:t>
      </w:r>
      <w:r w:rsidRPr="000F586A">
        <w:rPr>
          <w:color w:val="000000" w:themeColor="text1"/>
        </w:rPr>
        <w:t xml:space="preserve">design/construction phase, in which case they would </w:t>
      </w:r>
      <w:r>
        <w:rPr>
          <w:color w:val="000000" w:themeColor="text1"/>
        </w:rPr>
        <w:t>be evaluated to determine if a restudy is required.</w:t>
      </w:r>
    </w:p>
    <w:p w14:paraId="3A745F9A" w14:textId="77777777" w:rsidR="00AC5885" w:rsidRPr="000F586A" w:rsidRDefault="00AC5885" w:rsidP="00AC5885">
      <w:pPr>
        <w:pStyle w:val="ListParagraph"/>
        <w:numPr>
          <w:ilvl w:val="0"/>
          <w:numId w:val="40"/>
        </w:numPr>
        <w:spacing w:after="120"/>
        <w:contextualSpacing/>
        <w:rPr>
          <w:color w:val="000000" w:themeColor="text1"/>
        </w:rPr>
      </w:pPr>
      <w:r w:rsidRPr="000F586A">
        <w:rPr>
          <w:color w:val="000000" w:themeColor="text1"/>
        </w:rPr>
        <w:t>Adding a new battery</w:t>
      </w:r>
      <w:r>
        <w:rPr>
          <w:color w:val="000000" w:themeColor="text1"/>
        </w:rPr>
        <w:t xml:space="preserve"> is considered an increase in capacity of an existing Generating Facility and would require a new application.</w:t>
      </w:r>
    </w:p>
    <w:p w14:paraId="1D847056" w14:textId="77777777" w:rsidR="00AC5885" w:rsidRPr="000F586A" w:rsidRDefault="00AC5885" w:rsidP="00AC5885">
      <w:pPr>
        <w:pStyle w:val="ListParagraph"/>
        <w:numPr>
          <w:ilvl w:val="0"/>
          <w:numId w:val="40"/>
        </w:numPr>
        <w:spacing w:after="120"/>
        <w:contextualSpacing/>
        <w:rPr>
          <w:color w:val="000000" w:themeColor="text1"/>
        </w:rPr>
      </w:pPr>
      <w:r w:rsidRPr="000F586A">
        <w:rPr>
          <w:color w:val="000000" w:themeColor="text1"/>
        </w:rPr>
        <w:t>Making any change in connection types (e.g. delta</w:t>
      </w:r>
      <w:r>
        <w:rPr>
          <w:color w:val="000000" w:themeColor="text1"/>
        </w:rPr>
        <w:t xml:space="preserve"> to</w:t>
      </w:r>
      <w:r w:rsidRPr="000F586A">
        <w:rPr>
          <w:color w:val="000000" w:themeColor="text1"/>
        </w:rPr>
        <w:t xml:space="preserve"> wye)</w:t>
      </w:r>
      <w:r>
        <w:rPr>
          <w:color w:val="000000" w:themeColor="text1"/>
        </w:rPr>
        <w:t>.</w:t>
      </w:r>
    </w:p>
    <w:p w14:paraId="7CD66177" w14:textId="77777777" w:rsidR="00AC5885" w:rsidRDefault="00AC5885" w:rsidP="00AC5885">
      <w:pPr>
        <w:pStyle w:val="ListParagraph"/>
        <w:numPr>
          <w:ilvl w:val="0"/>
          <w:numId w:val="40"/>
        </w:numPr>
        <w:spacing w:after="120"/>
        <w:contextualSpacing/>
        <w:rPr>
          <w:color w:val="000000" w:themeColor="text1"/>
        </w:rPr>
      </w:pPr>
      <w:r w:rsidRPr="000F586A">
        <w:rPr>
          <w:color w:val="000000" w:themeColor="text1"/>
        </w:rPr>
        <w:t>Reducing system size to avoid mitigations (</w:t>
      </w:r>
      <w:r>
        <w:rPr>
          <w:color w:val="000000" w:themeColor="text1"/>
        </w:rPr>
        <w:t>potential</w:t>
      </w:r>
      <w:r w:rsidRPr="000F586A">
        <w:rPr>
          <w:color w:val="000000" w:themeColor="text1"/>
        </w:rPr>
        <w:t xml:space="preserve"> impact </w:t>
      </w:r>
      <w:r>
        <w:rPr>
          <w:color w:val="000000" w:themeColor="text1"/>
        </w:rPr>
        <w:t xml:space="preserve">to </w:t>
      </w:r>
      <w:r w:rsidRPr="000F586A">
        <w:rPr>
          <w:color w:val="000000" w:themeColor="text1"/>
        </w:rPr>
        <w:t>later-queued projects)</w:t>
      </w:r>
      <w:r>
        <w:rPr>
          <w:color w:val="000000" w:themeColor="text1"/>
        </w:rPr>
        <w:t>.</w:t>
      </w:r>
    </w:p>
    <w:p w14:paraId="47660459" w14:textId="77777777" w:rsidR="00AC5885" w:rsidRPr="00CA3A48" w:rsidRDefault="00AC5885" w:rsidP="00AC5885">
      <w:pPr>
        <w:pStyle w:val="ListParagraph"/>
        <w:numPr>
          <w:ilvl w:val="0"/>
          <w:numId w:val="40"/>
        </w:numPr>
        <w:spacing w:after="120"/>
        <w:contextualSpacing/>
        <w:rPr>
          <w:color w:val="000000" w:themeColor="text1"/>
        </w:rPr>
      </w:pPr>
      <w:r>
        <w:rPr>
          <w:color w:val="000000" w:themeColor="text1"/>
        </w:rPr>
        <w:t xml:space="preserve">Increasing the size of the “limiting factor”.  As described above the “limiting factor” could be the Inverter Nameplate or in the case of a PV system, the lessor of the Aggregate CEC AC Rating of the panels or the Inverter Nameplate for PG&amp;E and SDG&amp;E.   </w:t>
      </w:r>
    </w:p>
    <w:p w14:paraId="2FC19663" w14:textId="77777777" w:rsidR="00AC5885" w:rsidRPr="005C50D0" w:rsidRDefault="00AC5885" w:rsidP="00AC5885">
      <w:pPr>
        <w:rPr>
          <w:b/>
          <w:color w:val="000000" w:themeColor="text1"/>
        </w:rPr>
      </w:pPr>
      <w:r w:rsidRPr="005C50D0">
        <w:rPr>
          <w:b/>
          <w:color w:val="000000" w:themeColor="text1"/>
        </w:rPr>
        <w:t>Other notes from discussion:</w:t>
      </w:r>
    </w:p>
    <w:p w14:paraId="30B31574" w14:textId="77777777" w:rsidR="00AC5885" w:rsidRPr="000F586A" w:rsidRDefault="00AC5885" w:rsidP="00AC5885">
      <w:pPr>
        <w:pStyle w:val="ListParagraph"/>
        <w:numPr>
          <w:ilvl w:val="0"/>
          <w:numId w:val="41"/>
        </w:numPr>
        <w:spacing w:after="120"/>
        <w:contextualSpacing/>
        <w:rPr>
          <w:color w:val="000000" w:themeColor="text1"/>
        </w:rPr>
      </w:pPr>
      <w:r w:rsidRPr="000F586A">
        <w:rPr>
          <w:color w:val="000000" w:themeColor="text1"/>
        </w:rPr>
        <w:t>Regarding making modifications to the operational profile of a smart inverter or charge controller, IOUs</w:t>
      </w:r>
      <w:r>
        <w:rPr>
          <w:color w:val="000000" w:themeColor="text1"/>
        </w:rPr>
        <w:t xml:space="preserve"> consider</w:t>
      </w:r>
      <w:r w:rsidRPr="000F586A">
        <w:rPr>
          <w:color w:val="000000" w:themeColor="text1"/>
        </w:rPr>
        <w:t xml:space="preserve"> operational profiles</w:t>
      </w:r>
      <w:r>
        <w:rPr>
          <w:color w:val="000000" w:themeColor="text1"/>
        </w:rPr>
        <w:t xml:space="preserve"> in limited cases at this time</w:t>
      </w:r>
      <w:r w:rsidRPr="000F586A">
        <w:rPr>
          <w:color w:val="000000" w:themeColor="text1"/>
        </w:rPr>
        <w:t xml:space="preserve">. </w:t>
      </w:r>
      <w:r>
        <w:rPr>
          <w:color w:val="000000" w:themeColor="text1"/>
        </w:rPr>
        <w:t xml:space="preserve"> It is mainly evaluated for storage </w:t>
      </w:r>
      <w:proofErr w:type="gramStart"/>
      <w:r>
        <w:rPr>
          <w:color w:val="000000" w:themeColor="text1"/>
        </w:rPr>
        <w:t>projects which</w:t>
      </w:r>
      <w:proofErr w:type="gramEnd"/>
      <w:r>
        <w:rPr>
          <w:color w:val="000000" w:themeColor="text1"/>
        </w:rPr>
        <w:t xml:space="preserve"> would require a new application.  </w:t>
      </w:r>
      <w:r w:rsidRPr="000F586A">
        <w:rPr>
          <w:color w:val="000000" w:themeColor="text1"/>
        </w:rPr>
        <w:t>This topic will be addressed</w:t>
      </w:r>
      <w:r>
        <w:rPr>
          <w:color w:val="000000" w:themeColor="text1"/>
        </w:rPr>
        <w:t xml:space="preserve"> further</w:t>
      </w:r>
      <w:r w:rsidRPr="000F586A">
        <w:rPr>
          <w:color w:val="000000" w:themeColor="text1"/>
        </w:rPr>
        <w:t xml:space="preserve"> in a later R.17-07-007 working group.</w:t>
      </w:r>
    </w:p>
    <w:p w14:paraId="614AD389" w14:textId="77777777" w:rsidR="00AC5885" w:rsidRPr="000F586A" w:rsidRDefault="00AC5885" w:rsidP="00AC5885">
      <w:pPr>
        <w:pStyle w:val="ListParagraph"/>
        <w:numPr>
          <w:ilvl w:val="0"/>
          <w:numId w:val="41"/>
        </w:numPr>
        <w:spacing w:after="120"/>
        <w:contextualSpacing/>
        <w:rPr>
          <w:color w:val="000000" w:themeColor="text1"/>
        </w:rPr>
      </w:pPr>
      <w:r w:rsidRPr="000F586A">
        <w:rPr>
          <w:color w:val="000000" w:themeColor="text1"/>
        </w:rPr>
        <w:t>The working group needs to address making modifications to existing facilities (e.g. replacing inverters at end of life, retrofitting with storage) separately from making modifications to pending applications</w:t>
      </w:r>
    </w:p>
    <w:p w14:paraId="0EA22B27" w14:textId="77777777" w:rsidR="00AC5885" w:rsidRDefault="00AC5885" w:rsidP="00AC5885">
      <w:pPr>
        <w:rPr>
          <w:color w:val="0070C0"/>
        </w:rPr>
      </w:pPr>
    </w:p>
    <w:p w14:paraId="09E06E02" w14:textId="77777777" w:rsidR="00AC5885" w:rsidRDefault="00AC5885" w:rsidP="00AC5885">
      <w:pPr>
        <w:rPr>
          <w:color w:val="0070C0"/>
        </w:rPr>
      </w:pPr>
    </w:p>
    <w:p w14:paraId="01E8FE26" w14:textId="77777777" w:rsidR="00AC5885" w:rsidRDefault="00AC5885" w:rsidP="00AC5885">
      <w:pPr>
        <w:rPr>
          <w:color w:val="0070C0"/>
        </w:rPr>
      </w:pPr>
    </w:p>
    <w:p w14:paraId="7E5E3EB9" w14:textId="77777777" w:rsidR="00AC5885" w:rsidRPr="00C1294D" w:rsidRDefault="00AC5885" w:rsidP="00AC5885">
      <w:pPr>
        <w:rPr>
          <w:color w:val="0070C0"/>
        </w:rPr>
      </w:pPr>
      <w:r w:rsidRPr="00C1294D">
        <w:rPr>
          <w:color w:val="0070C0"/>
        </w:rPr>
        <w:lastRenderedPageBreak/>
        <w:t>Appendix A</w:t>
      </w:r>
      <w:r>
        <w:rPr>
          <w:color w:val="0070C0"/>
        </w:rPr>
        <w:t>: Matrix on Common Modifications - FAST TRACK ONLY</w:t>
      </w:r>
    </w:p>
    <w:tbl>
      <w:tblPr>
        <w:tblStyle w:val="TableGrid"/>
        <w:tblW w:w="5000" w:type="pct"/>
        <w:tblLook w:val="04A0" w:firstRow="1" w:lastRow="0" w:firstColumn="1" w:lastColumn="0" w:noHBand="0" w:noVBand="1"/>
      </w:tblPr>
      <w:tblGrid>
        <w:gridCol w:w="2844"/>
        <w:gridCol w:w="4520"/>
        <w:gridCol w:w="2212"/>
      </w:tblGrid>
      <w:tr w:rsidR="00AC5885" w14:paraId="3DDF04CC" w14:textId="77777777" w:rsidTr="00AC5885">
        <w:tc>
          <w:tcPr>
            <w:tcW w:w="1485" w:type="pct"/>
          </w:tcPr>
          <w:p w14:paraId="00992AF5" w14:textId="77777777" w:rsidR="00AC5885" w:rsidRPr="0064189C" w:rsidRDefault="00AC5885" w:rsidP="00AC5885">
            <w:pPr>
              <w:rPr>
                <w:b/>
              </w:rPr>
            </w:pPr>
            <w:r>
              <w:rPr>
                <w:b/>
              </w:rPr>
              <w:t>Modification Category</w:t>
            </w:r>
          </w:p>
        </w:tc>
        <w:tc>
          <w:tcPr>
            <w:tcW w:w="2360" w:type="pct"/>
          </w:tcPr>
          <w:p w14:paraId="0F11B420" w14:textId="77777777" w:rsidR="00AC5885" w:rsidRPr="005E315C" w:rsidRDefault="00AC5885" w:rsidP="00AC5885">
            <w:pPr>
              <w:rPr>
                <w:b/>
              </w:rPr>
            </w:pPr>
            <w:r>
              <w:rPr>
                <w:b/>
              </w:rPr>
              <w:t>Requires low level of review; allowed without losing queue position</w:t>
            </w:r>
          </w:p>
        </w:tc>
        <w:tc>
          <w:tcPr>
            <w:tcW w:w="1155" w:type="pct"/>
          </w:tcPr>
          <w:p w14:paraId="3537EF2B" w14:textId="77777777" w:rsidR="00AC5885" w:rsidRPr="005605EB" w:rsidRDefault="00AC5885" w:rsidP="00AC5885">
            <w:pPr>
              <w:rPr>
                <w:b/>
              </w:rPr>
            </w:pPr>
            <w:r>
              <w:rPr>
                <w:b/>
              </w:rPr>
              <w:t>Requires high level of review; will likely lose queue position</w:t>
            </w:r>
          </w:p>
        </w:tc>
      </w:tr>
      <w:tr w:rsidR="00AC5885" w14:paraId="32B8388E" w14:textId="77777777" w:rsidTr="00AC5885">
        <w:trPr>
          <w:trHeight w:val="1124"/>
        </w:trPr>
        <w:tc>
          <w:tcPr>
            <w:tcW w:w="1485" w:type="pct"/>
          </w:tcPr>
          <w:p w14:paraId="2FC7E2D6" w14:textId="77777777" w:rsidR="00AC5885" w:rsidRDefault="00AC5885" w:rsidP="00AC5885">
            <w:r>
              <w:t>Size reduction</w:t>
            </w:r>
          </w:p>
          <w:p w14:paraId="2255EA02" w14:textId="77777777" w:rsidR="00AC5885" w:rsidRDefault="00AC5885" w:rsidP="00AC5885">
            <w:r>
              <w:t>[Max 10%?]</w:t>
            </w:r>
          </w:p>
        </w:tc>
        <w:tc>
          <w:tcPr>
            <w:tcW w:w="2360" w:type="pct"/>
          </w:tcPr>
          <w:p w14:paraId="54FF2664" w14:textId="77777777" w:rsidR="00AC5885" w:rsidRPr="005E315C" w:rsidRDefault="00AC5885" w:rsidP="00AC5885">
            <w:pPr>
              <w:pStyle w:val="ListParagraph"/>
              <w:numPr>
                <w:ilvl w:val="0"/>
                <w:numId w:val="38"/>
              </w:numPr>
              <w:contextualSpacing/>
              <w:rPr>
                <w:color w:val="0070C0"/>
              </w:rPr>
            </w:pPr>
            <w:r w:rsidRPr="005E315C">
              <w:rPr>
                <w:color w:val="0070C0"/>
              </w:rPr>
              <w:t>No mitigations</w:t>
            </w:r>
            <w:r>
              <w:rPr>
                <w:color w:val="0070C0"/>
              </w:rPr>
              <w:t xml:space="preserve"> are required or the customer agrees to pay for mitigations</w:t>
            </w:r>
          </w:p>
          <w:p w14:paraId="5B70B819" w14:textId="77777777" w:rsidR="00AC5885" w:rsidRPr="00D20B8A" w:rsidRDefault="00AC5885" w:rsidP="00AC5885">
            <w:pPr>
              <w:pStyle w:val="ListParagraph"/>
              <w:numPr>
                <w:ilvl w:val="0"/>
                <w:numId w:val="38"/>
              </w:numPr>
              <w:contextualSpacing/>
              <w:rPr>
                <w:color w:val="0070C0"/>
              </w:rPr>
            </w:pPr>
            <w:r>
              <w:rPr>
                <w:color w:val="0070C0"/>
              </w:rPr>
              <w:t>C</w:t>
            </w:r>
            <w:r w:rsidRPr="005E315C">
              <w:rPr>
                <w:color w:val="0070C0"/>
              </w:rPr>
              <w:t>hange of equipment</w:t>
            </w:r>
            <w:r>
              <w:rPr>
                <w:color w:val="0070C0"/>
              </w:rPr>
              <w:t xml:space="preserve"> must meet equivalency requirements except size</w:t>
            </w:r>
          </w:p>
        </w:tc>
        <w:tc>
          <w:tcPr>
            <w:tcW w:w="1155" w:type="pct"/>
          </w:tcPr>
          <w:p w14:paraId="0E5374E5" w14:textId="77777777" w:rsidR="00AC5885" w:rsidRPr="005E315C" w:rsidRDefault="00AC5885" w:rsidP="00AC5885">
            <w:pPr>
              <w:rPr>
                <w:color w:val="0070C0"/>
              </w:rPr>
            </w:pPr>
          </w:p>
        </w:tc>
      </w:tr>
      <w:tr w:rsidR="00AC5885" w14:paraId="13A0978E" w14:textId="77777777" w:rsidTr="00AC5885">
        <w:trPr>
          <w:trHeight w:val="1915"/>
        </w:trPr>
        <w:tc>
          <w:tcPr>
            <w:tcW w:w="1485" w:type="pct"/>
          </w:tcPr>
          <w:p w14:paraId="605E5E60" w14:textId="77777777" w:rsidR="00AC5885" w:rsidRDefault="00AC5885" w:rsidP="00AC5885">
            <w:r>
              <w:t>Minor size increase in “limiting factor”</w:t>
            </w:r>
          </w:p>
        </w:tc>
        <w:tc>
          <w:tcPr>
            <w:tcW w:w="2360" w:type="pct"/>
          </w:tcPr>
          <w:p w14:paraId="1F576AF5" w14:textId="77777777" w:rsidR="00AC5885" w:rsidRDefault="00AC5885" w:rsidP="00AC5885">
            <w:pPr>
              <w:pStyle w:val="ListParagraph"/>
              <w:numPr>
                <w:ilvl w:val="0"/>
                <w:numId w:val="38"/>
              </w:numPr>
              <w:contextualSpacing/>
              <w:rPr>
                <w:color w:val="0070C0"/>
              </w:rPr>
            </w:pPr>
            <w:r>
              <w:rPr>
                <w:color w:val="0070C0"/>
              </w:rPr>
              <w:t>None</w:t>
            </w:r>
          </w:p>
          <w:p w14:paraId="77AF09EC" w14:textId="77777777" w:rsidR="00AC5885" w:rsidRPr="00351183" w:rsidRDefault="00AC5885" w:rsidP="00AC5885">
            <w:pPr>
              <w:pStyle w:val="ListParagraph"/>
              <w:numPr>
                <w:ilvl w:val="0"/>
                <w:numId w:val="38"/>
              </w:numPr>
              <w:contextualSpacing/>
              <w:rPr>
                <w:color w:val="0070C0"/>
              </w:rPr>
            </w:pPr>
            <w:r>
              <w:rPr>
                <w:color w:val="0070C0"/>
              </w:rPr>
              <w:t>Note that so long as the “limiting factor” doesn’t increase in size, other equipment may increase in size without losing queue position (i.e. if inverter nameplate is the limiting factor on a PV system, the project could increase the number of DC panels or replace the panel such that the rating of the panels increase without triggering material modification)</w:t>
            </w:r>
          </w:p>
        </w:tc>
        <w:tc>
          <w:tcPr>
            <w:tcW w:w="1155" w:type="pct"/>
          </w:tcPr>
          <w:p w14:paraId="111CA989" w14:textId="77777777" w:rsidR="00AC5885" w:rsidRPr="005E315C" w:rsidRDefault="00AC5885" w:rsidP="00AC5885">
            <w:pPr>
              <w:rPr>
                <w:color w:val="0070C0"/>
              </w:rPr>
            </w:pPr>
          </w:p>
        </w:tc>
      </w:tr>
      <w:tr w:rsidR="00AC5885" w14:paraId="3AF6687F" w14:textId="77777777" w:rsidTr="00AC5885">
        <w:trPr>
          <w:trHeight w:val="1915"/>
        </w:trPr>
        <w:tc>
          <w:tcPr>
            <w:tcW w:w="1485" w:type="pct"/>
          </w:tcPr>
          <w:p w14:paraId="12E2F190" w14:textId="77777777" w:rsidR="00AC5885" w:rsidRDefault="00AC5885" w:rsidP="00AC5885">
            <w:r>
              <w:t>Equivalent equipment replacements</w:t>
            </w:r>
          </w:p>
          <w:p w14:paraId="2759E606" w14:textId="77777777" w:rsidR="00AC5885" w:rsidRDefault="00AC5885" w:rsidP="00AC5885">
            <w:r>
              <w:t xml:space="preserve">[Define </w:t>
            </w:r>
            <w:proofErr w:type="gramStart"/>
            <w:r>
              <w:t>equivalency ]</w:t>
            </w:r>
            <w:proofErr w:type="gramEnd"/>
          </w:p>
        </w:tc>
        <w:tc>
          <w:tcPr>
            <w:tcW w:w="2360" w:type="pct"/>
          </w:tcPr>
          <w:p w14:paraId="3EDA3D4F" w14:textId="77777777" w:rsidR="00AC5885" w:rsidRDefault="00AC5885" w:rsidP="00AC5885">
            <w:pPr>
              <w:pStyle w:val="ListParagraph"/>
              <w:numPr>
                <w:ilvl w:val="0"/>
                <w:numId w:val="38"/>
              </w:numPr>
              <w:contextualSpacing/>
              <w:rPr>
                <w:color w:val="0070C0"/>
              </w:rPr>
            </w:pPr>
            <w:r>
              <w:rPr>
                <w:color w:val="0070C0"/>
              </w:rPr>
              <w:t>Inverters: equivalent means certified, same nameplate or smaller, same fault current or smaller</w:t>
            </w:r>
          </w:p>
          <w:p w14:paraId="556EE454" w14:textId="77777777" w:rsidR="00AC5885" w:rsidRDefault="00AC5885" w:rsidP="00AC5885">
            <w:pPr>
              <w:pStyle w:val="ListParagraph"/>
              <w:numPr>
                <w:ilvl w:val="0"/>
                <w:numId w:val="38"/>
              </w:numPr>
              <w:contextualSpacing/>
              <w:rPr>
                <w:color w:val="0070C0"/>
              </w:rPr>
            </w:pPr>
            <w:r>
              <w:rPr>
                <w:color w:val="0070C0"/>
              </w:rPr>
              <w:t>Batteries: equivalent means same kWh rating, and same operating profile,</w:t>
            </w:r>
          </w:p>
          <w:p w14:paraId="1A3A422F" w14:textId="77777777" w:rsidR="00AC5885" w:rsidRPr="00351183" w:rsidRDefault="00AC5885" w:rsidP="00AC5885">
            <w:pPr>
              <w:pStyle w:val="ListParagraph"/>
              <w:numPr>
                <w:ilvl w:val="0"/>
                <w:numId w:val="38"/>
              </w:numPr>
              <w:contextualSpacing/>
              <w:rPr>
                <w:color w:val="0070C0"/>
              </w:rPr>
            </w:pPr>
            <w:r>
              <w:rPr>
                <w:color w:val="0070C0"/>
              </w:rPr>
              <w:t>Transformers: same connection type, same or smaller impedance and capacity</w:t>
            </w:r>
          </w:p>
        </w:tc>
        <w:tc>
          <w:tcPr>
            <w:tcW w:w="1155" w:type="pct"/>
          </w:tcPr>
          <w:p w14:paraId="4809CC7B" w14:textId="77777777" w:rsidR="00AC5885" w:rsidRPr="00D74A91" w:rsidRDefault="00AC5885" w:rsidP="00AC5885">
            <w:pPr>
              <w:pStyle w:val="ListParagraph"/>
              <w:numPr>
                <w:ilvl w:val="0"/>
                <w:numId w:val="38"/>
              </w:numPr>
              <w:contextualSpacing/>
              <w:rPr>
                <w:color w:val="0070C0"/>
              </w:rPr>
            </w:pPr>
            <w:r>
              <w:rPr>
                <w:color w:val="0070C0"/>
              </w:rPr>
              <w:t>Any change in connection types (e.g. delta, wye)</w:t>
            </w:r>
          </w:p>
        </w:tc>
      </w:tr>
      <w:tr w:rsidR="00AC5885" w14:paraId="3B8C26F9" w14:textId="77777777" w:rsidTr="00AC5885">
        <w:trPr>
          <w:trHeight w:val="1736"/>
        </w:trPr>
        <w:tc>
          <w:tcPr>
            <w:tcW w:w="1485" w:type="pct"/>
          </w:tcPr>
          <w:p w14:paraId="1A139380" w14:textId="77777777" w:rsidR="00AC5885" w:rsidRDefault="00AC5885" w:rsidP="00AC5885">
            <w:r>
              <w:t>Changing the point of interconnection</w:t>
            </w:r>
          </w:p>
        </w:tc>
        <w:tc>
          <w:tcPr>
            <w:tcW w:w="2360" w:type="pct"/>
          </w:tcPr>
          <w:p w14:paraId="7C0E5449" w14:textId="77777777" w:rsidR="00AC5885" w:rsidRPr="00D20B8A" w:rsidRDefault="00AC5885" w:rsidP="00AC5885">
            <w:pPr>
              <w:pStyle w:val="ListParagraph"/>
              <w:numPr>
                <w:ilvl w:val="0"/>
                <w:numId w:val="38"/>
              </w:numPr>
              <w:contextualSpacing/>
              <w:rPr>
                <w:color w:val="0070C0"/>
              </w:rPr>
            </w:pPr>
            <w:r>
              <w:rPr>
                <w:color w:val="0070C0"/>
              </w:rPr>
              <w:t>None.</w:t>
            </w:r>
          </w:p>
          <w:p w14:paraId="4CC47CF7" w14:textId="77777777" w:rsidR="00AC5885" w:rsidRPr="00D74A91" w:rsidRDefault="00AC5885" w:rsidP="00AC5885">
            <w:pPr>
              <w:pStyle w:val="ListParagraph"/>
              <w:numPr>
                <w:ilvl w:val="0"/>
                <w:numId w:val="38"/>
              </w:numPr>
              <w:contextualSpacing/>
              <w:rPr>
                <w:color w:val="0070C0"/>
              </w:rPr>
            </w:pPr>
            <w:r>
              <w:rPr>
                <w:color w:val="0070C0"/>
              </w:rPr>
              <w:t>Minor changes within the project’s parcel (i.e. location of meter within facility) are often resolved in the design/construction phase, in which case it would be evaluated whether engineering re-review is required.</w:t>
            </w:r>
          </w:p>
        </w:tc>
        <w:tc>
          <w:tcPr>
            <w:tcW w:w="1155" w:type="pct"/>
          </w:tcPr>
          <w:p w14:paraId="28FAE0BB" w14:textId="77777777" w:rsidR="00AC5885" w:rsidRPr="005E315C" w:rsidRDefault="00AC5885" w:rsidP="00AC5885">
            <w:pPr>
              <w:rPr>
                <w:color w:val="0070C0"/>
              </w:rPr>
            </w:pPr>
          </w:p>
        </w:tc>
      </w:tr>
      <w:tr w:rsidR="00AC5885" w14:paraId="0546924A" w14:textId="77777777" w:rsidTr="00AC5885">
        <w:trPr>
          <w:trHeight w:val="800"/>
        </w:trPr>
        <w:tc>
          <w:tcPr>
            <w:tcW w:w="1485" w:type="pct"/>
          </w:tcPr>
          <w:p w14:paraId="0ABFEB69" w14:textId="77777777" w:rsidR="00AC5885" w:rsidRPr="0049161B" w:rsidRDefault="00AC5885" w:rsidP="00AC5885">
            <w:pPr>
              <w:rPr>
                <w:strike/>
              </w:rPr>
            </w:pPr>
            <w:r w:rsidRPr="0049161B">
              <w:rPr>
                <w:strike/>
              </w:rPr>
              <w:t>Minor design changes (i.e. changing the location of the inverter)</w:t>
            </w:r>
          </w:p>
        </w:tc>
        <w:tc>
          <w:tcPr>
            <w:tcW w:w="2360" w:type="pct"/>
          </w:tcPr>
          <w:p w14:paraId="7FB6E386" w14:textId="77777777" w:rsidR="00AC5885" w:rsidRPr="00351183" w:rsidRDefault="00AC5885" w:rsidP="00AC5885">
            <w:pPr>
              <w:pStyle w:val="ListParagraph"/>
              <w:numPr>
                <w:ilvl w:val="0"/>
                <w:numId w:val="38"/>
              </w:numPr>
              <w:contextualSpacing/>
              <w:rPr>
                <w:color w:val="0070C0"/>
              </w:rPr>
            </w:pPr>
          </w:p>
        </w:tc>
        <w:tc>
          <w:tcPr>
            <w:tcW w:w="1155" w:type="pct"/>
          </w:tcPr>
          <w:p w14:paraId="2643775B" w14:textId="77777777" w:rsidR="00AC5885" w:rsidRPr="005E315C" w:rsidRDefault="00AC5885" w:rsidP="00AC5885">
            <w:pPr>
              <w:rPr>
                <w:color w:val="0070C0"/>
              </w:rPr>
            </w:pPr>
          </w:p>
        </w:tc>
      </w:tr>
      <w:tr w:rsidR="00AC5885" w14:paraId="636A881B" w14:textId="77777777" w:rsidTr="00AC5885">
        <w:trPr>
          <w:trHeight w:val="932"/>
        </w:trPr>
        <w:tc>
          <w:tcPr>
            <w:tcW w:w="1485" w:type="pct"/>
          </w:tcPr>
          <w:p w14:paraId="7F66C525" w14:textId="77777777" w:rsidR="00AC5885" w:rsidRDefault="00AC5885" w:rsidP="00AC5885">
            <w:r>
              <w:t>Changing the operational profile of a smart inverter or charge controller</w:t>
            </w:r>
          </w:p>
        </w:tc>
        <w:tc>
          <w:tcPr>
            <w:tcW w:w="2360" w:type="pct"/>
          </w:tcPr>
          <w:p w14:paraId="24A61959" w14:textId="77777777" w:rsidR="00AC5885" w:rsidRPr="00351183" w:rsidRDefault="00AC5885" w:rsidP="00AC5885">
            <w:pPr>
              <w:pStyle w:val="ListParagraph"/>
              <w:numPr>
                <w:ilvl w:val="0"/>
                <w:numId w:val="38"/>
              </w:numPr>
              <w:contextualSpacing/>
              <w:rPr>
                <w:color w:val="0070C0"/>
              </w:rPr>
            </w:pPr>
            <w:r w:rsidRPr="00CA3A48">
              <w:rPr>
                <w:color w:val="0070C0"/>
              </w:rPr>
              <w:t>IOUs consider operational profiles in limited cases at this time</w:t>
            </w:r>
            <w:r>
              <w:rPr>
                <w:color w:val="0070C0"/>
              </w:rPr>
              <w:t>. This topic will be addressed in a later R.17-07-007 working group.</w:t>
            </w:r>
          </w:p>
        </w:tc>
        <w:tc>
          <w:tcPr>
            <w:tcW w:w="1155" w:type="pct"/>
          </w:tcPr>
          <w:p w14:paraId="13273D62" w14:textId="77777777" w:rsidR="00AC5885" w:rsidRDefault="00AC5885" w:rsidP="00AC5885"/>
        </w:tc>
      </w:tr>
      <w:tr w:rsidR="00AC5885" w14:paraId="35E02078" w14:textId="77777777" w:rsidTr="00AC5885">
        <w:trPr>
          <w:trHeight w:val="512"/>
        </w:trPr>
        <w:tc>
          <w:tcPr>
            <w:tcW w:w="1485" w:type="pct"/>
          </w:tcPr>
          <w:p w14:paraId="08F453CC" w14:textId="77777777" w:rsidR="00AC5885" w:rsidRDefault="00AC5885" w:rsidP="00AC5885">
            <w:r>
              <w:t>Adding storage to a pending application</w:t>
            </w:r>
          </w:p>
        </w:tc>
        <w:tc>
          <w:tcPr>
            <w:tcW w:w="2360" w:type="pct"/>
          </w:tcPr>
          <w:p w14:paraId="203F6060" w14:textId="77777777" w:rsidR="00AC5885" w:rsidRPr="0049161B" w:rsidRDefault="00AC5885" w:rsidP="00AC5885">
            <w:pPr>
              <w:pStyle w:val="ListParagraph"/>
              <w:numPr>
                <w:ilvl w:val="0"/>
                <w:numId w:val="38"/>
              </w:numPr>
              <w:contextualSpacing/>
              <w:rPr>
                <w:color w:val="0070C0"/>
              </w:rPr>
            </w:pPr>
            <w:r w:rsidRPr="0049161B">
              <w:rPr>
                <w:color w:val="0070C0"/>
              </w:rPr>
              <w:t>None</w:t>
            </w:r>
          </w:p>
        </w:tc>
        <w:tc>
          <w:tcPr>
            <w:tcW w:w="1155" w:type="pct"/>
          </w:tcPr>
          <w:p w14:paraId="3A60FD3F" w14:textId="77777777" w:rsidR="00AC5885" w:rsidRPr="0049161B" w:rsidRDefault="00AC5885" w:rsidP="00AC5885">
            <w:pPr>
              <w:pStyle w:val="ListParagraph"/>
              <w:numPr>
                <w:ilvl w:val="0"/>
                <w:numId w:val="38"/>
              </w:numPr>
              <w:contextualSpacing/>
              <w:rPr>
                <w:color w:val="0070C0"/>
              </w:rPr>
            </w:pPr>
            <w:r w:rsidRPr="0049161B">
              <w:rPr>
                <w:color w:val="0070C0"/>
              </w:rPr>
              <w:t>Requires new application</w:t>
            </w:r>
          </w:p>
        </w:tc>
      </w:tr>
      <w:tr w:rsidR="00AC5885" w14:paraId="6DF629B7" w14:textId="77777777" w:rsidTr="00AC5885">
        <w:trPr>
          <w:trHeight w:val="674"/>
        </w:trPr>
        <w:tc>
          <w:tcPr>
            <w:tcW w:w="1485" w:type="pct"/>
          </w:tcPr>
          <w:p w14:paraId="724A797A" w14:textId="77777777" w:rsidR="00AC5885" w:rsidRDefault="00AC5885" w:rsidP="00AC5885">
            <w:r>
              <w:t xml:space="preserve">Adding storage to an existing, interconnected facility </w:t>
            </w:r>
          </w:p>
        </w:tc>
        <w:tc>
          <w:tcPr>
            <w:tcW w:w="2360" w:type="pct"/>
          </w:tcPr>
          <w:p w14:paraId="2E232E04" w14:textId="77777777" w:rsidR="00AC5885" w:rsidRPr="0049161B" w:rsidRDefault="00AC5885" w:rsidP="00AC5885">
            <w:pPr>
              <w:pStyle w:val="ListParagraph"/>
              <w:numPr>
                <w:ilvl w:val="0"/>
                <w:numId w:val="39"/>
              </w:numPr>
              <w:ind w:left="340"/>
              <w:contextualSpacing/>
              <w:rPr>
                <w:color w:val="0070C0"/>
              </w:rPr>
            </w:pPr>
            <w:r>
              <w:rPr>
                <w:color w:val="0070C0"/>
              </w:rPr>
              <w:t>Requires new application</w:t>
            </w:r>
          </w:p>
        </w:tc>
        <w:tc>
          <w:tcPr>
            <w:tcW w:w="1155" w:type="pct"/>
          </w:tcPr>
          <w:p w14:paraId="16A90A20" w14:textId="77777777" w:rsidR="00AC5885" w:rsidRPr="00CA3A48" w:rsidRDefault="00AC5885" w:rsidP="00AC5885">
            <w:pPr>
              <w:pStyle w:val="ListParagraph"/>
              <w:numPr>
                <w:ilvl w:val="0"/>
                <w:numId w:val="39"/>
              </w:numPr>
              <w:ind w:left="376" w:hanging="376"/>
              <w:contextualSpacing/>
              <w:rPr>
                <w:color w:val="0070C0"/>
              </w:rPr>
            </w:pPr>
            <w:r w:rsidRPr="00CA3A48">
              <w:rPr>
                <w:color w:val="0070C0"/>
              </w:rPr>
              <w:t>Requires new application</w:t>
            </w:r>
          </w:p>
        </w:tc>
      </w:tr>
    </w:tbl>
    <w:p w14:paraId="17AB453F" w14:textId="77777777" w:rsidR="00AC5885" w:rsidRDefault="00AC5885" w:rsidP="00AC5885"/>
    <w:p w14:paraId="215B951E" w14:textId="77777777" w:rsidR="00AC5885" w:rsidRDefault="00AC5885" w:rsidP="00AC5885">
      <w:pPr>
        <w:pStyle w:val="ListParagraph"/>
        <w:contextualSpacing/>
      </w:pPr>
    </w:p>
    <w:p w14:paraId="39C32DF2" w14:textId="77777777" w:rsidR="00B55E37" w:rsidRDefault="00B55E37" w:rsidP="00AC5885">
      <w:pPr>
        <w:pStyle w:val="ListParagraph"/>
        <w:contextualSpacing/>
      </w:pPr>
    </w:p>
    <w:p w14:paraId="3B856765" w14:textId="77777777" w:rsidR="00B55E37" w:rsidRDefault="00B55E37" w:rsidP="00AC5885">
      <w:pPr>
        <w:pStyle w:val="ListParagraph"/>
        <w:contextualSpacing/>
      </w:pPr>
    </w:p>
    <w:p w14:paraId="2E63F8D6" w14:textId="292231A9" w:rsidR="00B55E37" w:rsidRDefault="00B55E37" w:rsidP="00B55E37">
      <w:pPr>
        <w:autoSpaceDE w:val="0"/>
        <w:autoSpaceDN w:val="0"/>
        <w:adjustRightInd w:val="0"/>
        <w:jc w:val="center"/>
        <w:rPr>
          <w:rFonts w:asciiTheme="majorHAnsi" w:hAnsiTheme="majorHAnsi"/>
          <w:b/>
          <w:color w:val="000000"/>
        </w:rPr>
      </w:pPr>
      <w:r w:rsidRPr="00F72317">
        <w:rPr>
          <w:rFonts w:asciiTheme="majorHAnsi" w:hAnsiTheme="majorHAnsi"/>
          <w:b/>
          <w:color w:val="000000"/>
        </w:rPr>
        <w:lastRenderedPageBreak/>
        <w:t xml:space="preserve">Appendix </w:t>
      </w:r>
      <w:r>
        <w:rPr>
          <w:rFonts w:asciiTheme="majorHAnsi" w:hAnsiTheme="majorHAnsi"/>
          <w:b/>
          <w:color w:val="000000"/>
        </w:rPr>
        <w:t>G</w:t>
      </w:r>
      <w:r w:rsidRPr="00F72317">
        <w:rPr>
          <w:rFonts w:asciiTheme="majorHAnsi" w:hAnsiTheme="majorHAnsi"/>
          <w:b/>
          <w:color w:val="000000"/>
        </w:rPr>
        <w:t xml:space="preserve">: </w:t>
      </w:r>
      <w:r>
        <w:rPr>
          <w:rFonts w:asciiTheme="majorHAnsi" w:hAnsiTheme="majorHAnsi"/>
          <w:b/>
          <w:color w:val="000000"/>
        </w:rPr>
        <w:t>Rule 21 Tariff Language on Modifications under Cost Envelope Option</w:t>
      </w:r>
    </w:p>
    <w:p w14:paraId="10B2743E" w14:textId="77777777" w:rsidR="00B55E37" w:rsidRDefault="00B55E37" w:rsidP="00B55E37">
      <w:pPr>
        <w:autoSpaceDE w:val="0"/>
        <w:autoSpaceDN w:val="0"/>
        <w:adjustRightInd w:val="0"/>
        <w:jc w:val="center"/>
        <w:rPr>
          <w:rFonts w:ascii="Arial" w:hAnsi="Arial" w:cs="Arial"/>
          <w:sz w:val="24"/>
          <w:szCs w:val="24"/>
        </w:rPr>
      </w:pPr>
    </w:p>
    <w:p w14:paraId="049EBB29"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F. REVIEW PROCESS FOR INTERCONNECTION REQUESTS (Cont’d.)</w:t>
      </w:r>
    </w:p>
    <w:p w14:paraId="587EBB88"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7. COST ENVELOPE OPTION (Cont’d.)</w:t>
      </w:r>
    </w:p>
    <w:p w14:paraId="10ED2D9F"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f. Modifications</w:t>
      </w:r>
    </w:p>
    <w:p w14:paraId="75FBDEBC"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Under the Fast Track Process, modifications are not permitted to the</w:t>
      </w:r>
    </w:p>
    <w:p w14:paraId="5A9CD86B"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Generating Facility, related equipment, Point of Interconnection or other</w:t>
      </w:r>
    </w:p>
    <w:p w14:paraId="4E275FF4"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interconnection</w:t>
      </w:r>
      <w:proofErr w:type="gramEnd"/>
      <w:r>
        <w:rPr>
          <w:rFonts w:ascii="Arial" w:hAnsi="Arial" w:cs="Arial"/>
          <w:sz w:val="24"/>
          <w:szCs w:val="24"/>
        </w:rPr>
        <w:t xml:space="preserve"> parameters that would require a re-evaluation of the</w:t>
      </w:r>
    </w:p>
    <w:p w14:paraId="579900BC"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Initial Review or Supplemental Review. However, notwithstanding these</w:t>
      </w:r>
    </w:p>
    <w:p w14:paraId="23BE181F"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restrictions</w:t>
      </w:r>
      <w:proofErr w:type="gramEnd"/>
      <w:r>
        <w:rPr>
          <w:rFonts w:ascii="Arial" w:hAnsi="Arial" w:cs="Arial"/>
          <w:sz w:val="24"/>
          <w:szCs w:val="24"/>
        </w:rPr>
        <w:t>, an Applicant may identify and suggest minor changes to the</w:t>
      </w:r>
    </w:p>
    <w:p w14:paraId="4EB01F59"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Interconnection Facilities (e.g., minor adjustments to physical location of</w:t>
      </w:r>
    </w:p>
    <w:p w14:paraId="55AF7B1D"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switchgear</w:t>
      </w:r>
      <w:proofErr w:type="gramEnd"/>
      <w:r>
        <w:rPr>
          <w:rFonts w:ascii="Arial" w:hAnsi="Arial" w:cs="Arial"/>
          <w:sz w:val="24"/>
          <w:szCs w:val="24"/>
        </w:rPr>
        <w:t xml:space="preserve"> or other equipment, adjustments to routing of conductor from</w:t>
      </w:r>
    </w:p>
    <w:p w14:paraId="4812E2F3"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Point of Common Coupling to the Point of Interconnection, etc.)</w:t>
      </w:r>
    </w:p>
    <w:p w14:paraId="17994ED5"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upon</w:t>
      </w:r>
      <w:proofErr w:type="gramEnd"/>
      <w:r>
        <w:rPr>
          <w:rFonts w:ascii="Arial" w:hAnsi="Arial" w:cs="Arial"/>
          <w:sz w:val="24"/>
          <w:szCs w:val="24"/>
        </w:rPr>
        <w:t xml:space="preserve"> or near completion of Applicant’s final design of its Interconnection</w:t>
      </w:r>
    </w:p>
    <w:p w14:paraId="6F7210F3"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Facilities. If an Applicant identifies such changes, Applicant shall notify</w:t>
      </w:r>
    </w:p>
    <w:p w14:paraId="060136BD"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Distribution Provider of the requested changes and if, in the reasonable</w:t>
      </w:r>
    </w:p>
    <w:p w14:paraId="779D98E5" w14:textId="77777777" w:rsidR="00B55E37" w:rsidRDefault="00B55E37" w:rsidP="00B55E37">
      <w:pPr>
        <w:autoSpaceDE w:val="0"/>
        <w:autoSpaceDN w:val="0"/>
        <w:adjustRightInd w:val="0"/>
        <w:rPr>
          <w:rFonts w:ascii="Arial" w:hAnsi="Arial" w:cs="Arial"/>
          <w:sz w:val="24"/>
          <w:szCs w:val="24"/>
        </w:rPr>
      </w:pPr>
      <w:proofErr w:type="spellStart"/>
      <w:proofErr w:type="gramStart"/>
      <w:r>
        <w:rPr>
          <w:rFonts w:ascii="Arial" w:hAnsi="Arial" w:cs="Arial"/>
          <w:sz w:val="24"/>
          <w:szCs w:val="24"/>
        </w:rPr>
        <w:t>judgement</w:t>
      </w:r>
      <w:proofErr w:type="spellEnd"/>
      <w:proofErr w:type="gramEnd"/>
      <w:r>
        <w:rPr>
          <w:rFonts w:ascii="Arial" w:hAnsi="Arial" w:cs="Arial"/>
          <w:sz w:val="24"/>
          <w:szCs w:val="24"/>
        </w:rPr>
        <w:t xml:space="preserve"> of Distribution Provider, a re-evaluation of the costs under</w:t>
      </w:r>
    </w:p>
    <w:p w14:paraId="73FF77C8"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Cost Envelope Option is required, Distribution Provider will provide</w:t>
      </w:r>
    </w:p>
    <w:p w14:paraId="2AA337C2"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Applicant within ten (10) Business Days of receipt of Applicant’s notice</w:t>
      </w:r>
    </w:p>
    <w:p w14:paraId="529EC9F1"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estimate of the time required to re-evaluate the costs under the Cost</w:t>
      </w:r>
    </w:p>
    <w:p w14:paraId="30B612CB"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Envelope Option and the estimated cost of such re-evaluation.</w:t>
      </w:r>
      <w:proofErr w:type="gramEnd"/>
    </w:p>
    <w:p w14:paraId="53FBD355"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Applicant may either (</w:t>
      </w:r>
      <w:proofErr w:type="spellStart"/>
      <w:r>
        <w:rPr>
          <w:rFonts w:ascii="Arial" w:hAnsi="Arial" w:cs="Arial"/>
          <w:sz w:val="24"/>
          <w:szCs w:val="24"/>
        </w:rPr>
        <w:t>i</w:t>
      </w:r>
      <w:proofErr w:type="spellEnd"/>
      <w:r>
        <w:rPr>
          <w:rFonts w:ascii="Arial" w:hAnsi="Arial" w:cs="Arial"/>
          <w:sz w:val="24"/>
          <w:szCs w:val="24"/>
        </w:rPr>
        <w:t>) accept the additional time and cost to complete</w:t>
      </w:r>
    </w:p>
    <w:p w14:paraId="7EE738B2"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re-evaluation, (ii) withdraw the proposed changes, or (iii) proceed</w:t>
      </w:r>
    </w:p>
    <w:p w14:paraId="0776F62F"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with</w:t>
      </w:r>
      <w:proofErr w:type="gramEnd"/>
      <w:r>
        <w:rPr>
          <w:rFonts w:ascii="Arial" w:hAnsi="Arial" w:cs="Arial"/>
          <w:sz w:val="24"/>
          <w:szCs w:val="24"/>
        </w:rPr>
        <w:t xml:space="preserve"> a new Interconnection Request for such changes. Applicant shall</w:t>
      </w:r>
    </w:p>
    <w:p w14:paraId="79CF23BD"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provide</w:t>
      </w:r>
      <w:proofErr w:type="gramEnd"/>
      <w:r>
        <w:rPr>
          <w:rFonts w:ascii="Arial" w:hAnsi="Arial" w:cs="Arial"/>
          <w:sz w:val="24"/>
          <w:szCs w:val="24"/>
        </w:rPr>
        <w:t xml:space="preserve"> Distribution Provider written notice of its election within ten (10)</w:t>
      </w:r>
    </w:p>
    <w:p w14:paraId="1A9B127B"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Business Days following Applicant’s receipt of Distribution Provider’s</w:t>
      </w:r>
    </w:p>
    <w:p w14:paraId="4A20C616"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estimated</w:t>
      </w:r>
      <w:proofErr w:type="gramEnd"/>
      <w:r>
        <w:rPr>
          <w:rFonts w:ascii="Arial" w:hAnsi="Arial" w:cs="Arial"/>
          <w:sz w:val="24"/>
          <w:szCs w:val="24"/>
        </w:rPr>
        <w:t xml:space="preserve"> additional time and cost required for the re-evaluation. If</w:t>
      </w:r>
    </w:p>
    <w:p w14:paraId="665C05D1"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Applicant elects to proceed with the re-evaluation of the costs under the</w:t>
      </w:r>
    </w:p>
    <w:p w14:paraId="73581C3B"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Cost Envelope Option, Distribution Provider shall complete the</w:t>
      </w:r>
    </w:p>
    <w:p w14:paraId="16400690"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reevaluation</w:t>
      </w:r>
      <w:proofErr w:type="gramEnd"/>
      <w:r>
        <w:rPr>
          <w:rFonts w:ascii="Arial" w:hAnsi="Arial" w:cs="Arial"/>
          <w:sz w:val="24"/>
          <w:szCs w:val="24"/>
        </w:rPr>
        <w:t xml:space="preserve"> within twenty (20) Business Days from receipt of all</w:t>
      </w:r>
    </w:p>
    <w:p w14:paraId="314870D8"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required</w:t>
      </w:r>
      <w:proofErr w:type="gramEnd"/>
      <w:r>
        <w:rPr>
          <w:rFonts w:ascii="Arial" w:hAnsi="Arial" w:cs="Arial"/>
          <w:sz w:val="24"/>
          <w:szCs w:val="24"/>
        </w:rPr>
        <w:t xml:space="preserve"> technical data related to the proposed changes and payment of</w:t>
      </w:r>
    </w:p>
    <w:p w14:paraId="431DE097" w14:textId="77777777" w:rsid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estimated cost of the reevaluation. Should Applicant fail to so notify</w:t>
      </w:r>
    </w:p>
    <w:p w14:paraId="6C3DDDB0"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Distribution Provider within such ten (10) Business Day period,</w:t>
      </w:r>
    </w:p>
    <w:p w14:paraId="25DB051F" w14:textId="77777777" w:rsidR="00B55E37" w:rsidRDefault="00B55E37" w:rsidP="00B55E37">
      <w:pPr>
        <w:autoSpaceDE w:val="0"/>
        <w:autoSpaceDN w:val="0"/>
        <w:adjustRightInd w:val="0"/>
        <w:rPr>
          <w:rFonts w:ascii="Arial" w:hAnsi="Arial" w:cs="Arial"/>
          <w:sz w:val="24"/>
          <w:szCs w:val="24"/>
        </w:rPr>
      </w:pPr>
      <w:r>
        <w:rPr>
          <w:rFonts w:ascii="Arial" w:hAnsi="Arial" w:cs="Arial"/>
          <w:sz w:val="24"/>
          <w:szCs w:val="24"/>
        </w:rPr>
        <w:t xml:space="preserve">Applicant’s request to make the proposed changes shall be deemed </w:t>
      </w:r>
    </w:p>
    <w:p w14:paraId="1AC7A869" w14:textId="5E6045D6" w:rsidR="00B55E37" w:rsidRPr="00B55E37" w:rsidRDefault="00B55E37" w:rsidP="00B55E37">
      <w:pPr>
        <w:autoSpaceDE w:val="0"/>
        <w:autoSpaceDN w:val="0"/>
        <w:adjustRightInd w:val="0"/>
        <w:rPr>
          <w:rFonts w:ascii="Arial" w:hAnsi="Arial" w:cs="Arial"/>
          <w:sz w:val="24"/>
          <w:szCs w:val="24"/>
        </w:rPr>
      </w:pPr>
      <w:proofErr w:type="gramStart"/>
      <w:r>
        <w:rPr>
          <w:rFonts w:ascii="Arial" w:hAnsi="Arial" w:cs="Arial"/>
          <w:sz w:val="24"/>
          <w:szCs w:val="24"/>
        </w:rPr>
        <w:t>withdrawn</w:t>
      </w:r>
      <w:proofErr w:type="gramEnd"/>
      <w:r>
        <w:rPr>
          <w:rFonts w:ascii="Arial" w:hAnsi="Arial" w:cs="Arial"/>
          <w:sz w:val="24"/>
          <w:szCs w:val="24"/>
        </w:rPr>
        <w:t>.</w:t>
      </w:r>
    </w:p>
    <w:sectPr w:rsidR="00B55E37" w:rsidRPr="00B55E37" w:rsidSect="00BA0E28">
      <w:headerReference w:type="default" r:id="rId22"/>
      <w:footerReference w:type="default" r:id="rId23"/>
      <w:pgSz w:w="12240" w:h="15840"/>
      <w:pgMar w:top="1440" w:right="1440" w:bottom="126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Brad Heavner" w:date="2018-02-01T08:33:00Z" w:initials="BH">
    <w:p w14:paraId="3E999BE7" w14:textId="3E3A3AD6" w:rsidR="00C41B93" w:rsidRDefault="00C41B93">
      <w:pPr>
        <w:pStyle w:val="CommentText"/>
      </w:pPr>
      <w:r>
        <w:rPr>
          <w:rStyle w:val="CommentReference"/>
        </w:rPr>
        <w:annotationRef/>
      </w:r>
      <w:r>
        <w:t>Isn’t this apples and oranges? If you are only verifying what the new system size is that’s not an engineering study and cost estimate. I would like to understand if we are adding a month and a half to every system that does a simple panel swap.</w:t>
      </w:r>
      <w:r w:rsidR="000E0E0A">
        <w:t xml:space="preserve"> I suggest leaving these timelines for changes to avoid upgrades that require a mini restudy but go to 5 and 5 if it’s just an administrative review.</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7379E4" w14:textId="77777777" w:rsidR="00C41B93" w:rsidRDefault="00C41B93" w:rsidP="00822A43">
      <w:r>
        <w:separator/>
      </w:r>
    </w:p>
  </w:endnote>
  <w:endnote w:type="continuationSeparator" w:id="0">
    <w:p w14:paraId="6DA3BD5A" w14:textId="77777777" w:rsidR="00C41B93" w:rsidRDefault="00C41B93" w:rsidP="00822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roxima Nova Semibold">
    <w:panose1 w:val="02000506030000020004"/>
    <w:charset w:val="00"/>
    <w:family w:val="auto"/>
    <w:pitch w:val="variable"/>
    <w:sig w:usb0="A00002EF" w:usb1="5000E0FB" w:usb2="00000000" w:usb3="00000000" w:csb0="0000019F" w:csb1="00000000"/>
  </w:font>
  <w:font w:name="Cambria">
    <w:panose1 w:val="02040503050406030204"/>
    <w:charset w:val="00"/>
    <w:family w:val="auto"/>
    <w:pitch w:val="variable"/>
    <w:sig w:usb0="E00002FF" w:usb1="400004FF"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Webdings">
    <w:panose1 w:val="05030102010509060703"/>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482143"/>
      <w:docPartObj>
        <w:docPartGallery w:val="Page Numbers (Bottom of Page)"/>
        <w:docPartUnique/>
      </w:docPartObj>
    </w:sdtPr>
    <w:sdtEndPr>
      <w:rPr>
        <w:noProof/>
      </w:rPr>
    </w:sdtEndPr>
    <w:sdtContent>
      <w:p w14:paraId="195F9B6F" w14:textId="5699323B" w:rsidR="00C41B93" w:rsidRDefault="00C41B93">
        <w:pPr>
          <w:pStyle w:val="Footer"/>
          <w:jc w:val="center"/>
        </w:pPr>
        <w:r>
          <w:fldChar w:fldCharType="begin"/>
        </w:r>
        <w:r>
          <w:instrText xml:space="preserve"> PAGE   \* MERGEFORMAT </w:instrText>
        </w:r>
        <w:r>
          <w:fldChar w:fldCharType="separate"/>
        </w:r>
        <w:r w:rsidR="00731204">
          <w:rPr>
            <w:noProof/>
          </w:rPr>
          <w:t>3</w:t>
        </w:r>
        <w:r>
          <w:rPr>
            <w:noProof/>
          </w:rPr>
          <w:fldChar w:fldCharType="end"/>
        </w:r>
      </w:p>
    </w:sdtContent>
  </w:sdt>
  <w:p w14:paraId="195F9B70" w14:textId="77777777" w:rsidR="00C41B93" w:rsidRDefault="00C41B9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65C2F3" w14:textId="77777777" w:rsidR="00C41B93" w:rsidRDefault="00C41B93" w:rsidP="00822A43">
      <w:r>
        <w:separator/>
      </w:r>
    </w:p>
  </w:footnote>
  <w:footnote w:type="continuationSeparator" w:id="0">
    <w:p w14:paraId="7085C342" w14:textId="77777777" w:rsidR="00C41B93" w:rsidRDefault="00C41B93" w:rsidP="00822A43">
      <w:r>
        <w:continuationSeparator/>
      </w:r>
    </w:p>
  </w:footnote>
  <w:footnote w:id="1">
    <w:p w14:paraId="57996D6C" w14:textId="77777777" w:rsidR="00C41B93" w:rsidRDefault="00C41B93" w:rsidP="00A01943">
      <w:pPr>
        <w:pStyle w:val="FootnoteText"/>
      </w:pPr>
      <w:r>
        <w:rPr>
          <w:rStyle w:val="FootnoteReference"/>
        </w:rPr>
        <w:footnoteRef/>
      </w:r>
      <w:r>
        <w:t xml:space="preserve"> </w:t>
      </w:r>
      <w:hyperlink r:id="rId1" w:history="1">
        <w:r w:rsidRPr="00493806">
          <w:rPr>
            <w:rStyle w:val="Hyperlink"/>
          </w:rPr>
          <w:t>https://www.pge.com/tariffs/tm2/pdf/ELEC_RULES_21.pdf</w:t>
        </w:r>
      </w:hyperlink>
    </w:p>
  </w:footnote>
  <w:footnote w:id="2">
    <w:p w14:paraId="1141E879" w14:textId="4E6DCAD1" w:rsidR="00C41B93" w:rsidRDefault="00C41B93">
      <w:pPr>
        <w:pStyle w:val="FootnoteText"/>
      </w:pPr>
      <w:r>
        <w:rPr>
          <w:rStyle w:val="FootnoteReference"/>
        </w:rPr>
        <w:footnoteRef/>
      </w:r>
      <w:r>
        <w:t xml:space="preserve"> After the conclusion of the Fast Track Initial Review process, the existing Rule 21 tariff does allow discussion of modifications in accordance with Section F.2.b (Optional Initial Review Results Meeting).</w:t>
      </w:r>
    </w:p>
  </w:footnote>
  <w:footnote w:id="3">
    <w:p w14:paraId="3D3534D7" w14:textId="2E77E4AF" w:rsidR="00C41B93" w:rsidRPr="0048756A" w:rsidRDefault="00C41B93" w:rsidP="005E6357">
      <w:r w:rsidRPr="00C93866">
        <w:rPr>
          <w:rStyle w:val="FootnoteReference"/>
          <w:sz w:val="20"/>
          <w:szCs w:val="20"/>
        </w:rPr>
        <w:footnoteRef/>
      </w:r>
      <w:r w:rsidRPr="00C93866">
        <w:rPr>
          <w:sz w:val="20"/>
          <w:szCs w:val="20"/>
        </w:rPr>
        <w:t xml:space="preserve"> </w:t>
      </w:r>
      <w:r>
        <w:rPr>
          <w:sz w:val="20"/>
          <w:szCs w:val="20"/>
        </w:rPr>
        <w:t xml:space="preserve">An example of a </w:t>
      </w:r>
      <w:r>
        <w:rPr>
          <w:rFonts w:asciiTheme="minorHAnsi" w:hAnsiTheme="minorHAnsi"/>
          <w:color w:val="000000"/>
          <w:sz w:val="20"/>
          <w:szCs w:val="20"/>
        </w:rPr>
        <w:t>l</w:t>
      </w:r>
      <w:r w:rsidRPr="00C93866">
        <w:rPr>
          <w:rFonts w:asciiTheme="minorHAnsi" w:hAnsiTheme="minorHAnsi"/>
          <w:color w:val="000000"/>
          <w:sz w:val="20"/>
          <w:szCs w:val="20"/>
        </w:rPr>
        <w:t>ike</w:t>
      </w:r>
      <w:r>
        <w:rPr>
          <w:rFonts w:asciiTheme="minorHAnsi" w:hAnsiTheme="minorHAnsi"/>
          <w:color w:val="000000"/>
          <w:sz w:val="20"/>
          <w:szCs w:val="20"/>
        </w:rPr>
        <w:t>-</w:t>
      </w:r>
      <w:r w:rsidRPr="00C93866">
        <w:rPr>
          <w:rFonts w:asciiTheme="minorHAnsi" w:hAnsiTheme="minorHAnsi"/>
          <w:color w:val="000000"/>
          <w:sz w:val="20"/>
          <w:szCs w:val="20"/>
        </w:rPr>
        <w:t>for</w:t>
      </w:r>
      <w:r>
        <w:rPr>
          <w:rFonts w:asciiTheme="minorHAnsi" w:hAnsiTheme="minorHAnsi"/>
          <w:color w:val="000000"/>
          <w:sz w:val="20"/>
          <w:szCs w:val="20"/>
        </w:rPr>
        <w:t>-l</w:t>
      </w:r>
      <w:r w:rsidRPr="00C93866">
        <w:rPr>
          <w:rFonts w:asciiTheme="minorHAnsi" w:hAnsiTheme="minorHAnsi"/>
          <w:color w:val="000000"/>
          <w:sz w:val="20"/>
          <w:szCs w:val="20"/>
        </w:rPr>
        <w:t xml:space="preserve">ike </w:t>
      </w:r>
      <w:r>
        <w:rPr>
          <w:rFonts w:asciiTheme="minorHAnsi" w:hAnsiTheme="minorHAnsi"/>
          <w:color w:val="000000"/>
          <w:sz w:val="20"/>
          <w:szCs w:val="20"/>
        </w:rPr>
        <w:t>equipment replacement would be the replacement of</w:t>
      </w:r>
      <w:r w:rsidRPr="00C93866">
        <w:rPr>
          <w:rFonts w:asciiTheme="minorHAnsi" w:hAnsiTheme="minorHAnsi"/>
          <w:color w:val="000000"/>
          <w:sz w:val="20"/>
          <w:szCs w:val="20"/>
        </w:rPr>
        <w:t xml:space="preserve"> </w:t>
      </w:r>
      <w:r>
        <w:rPr>
          <w:rFonts w:asciiTheme="minorHAnsi" w:hAnsiTheme="minorHAnsi"/>
          <w:color w:val="000000"/>
          <w:sz w:val="20"/>
          <w:szCs w:val="20"/>
        </w:rPr>
        <w:t xml:space="preserve">a </w:t>
      </w:r>
      <w:r w:rsidRPr="00C93866">
        <w:rPr>
          <w:rFonts w:asciiTheme="minorHAnsi" w:hAnsiTheme="minorHAnsi"/>
          <w:color w:val="000000"/>
          <w:sz w:val="20"/>
          <w:szCs w:val="20"/>
        </w:rPr>
        <w:t>5</w:t>
      </w:r>
      <w:r>
        <w:rPr>
          <w:rFonts w:asciiTheme="minorHAnsi" w:hAnsiTheme="minorHAnsi"/>
          <w:color w:val="000000"/>
          <w:sz w:val="20"/>
          <w:szCs w:val="20"/>
        </w:rPr>
        <w:t xml:space="preserve"> </w:t>
      </w:r>
      <w:r w:rsidRPr="00C93866">
        <w:rPr>
          <w:rFonts w:asciiTheme="minorHAnsi" w:hAnsiTheme="minorHAnsi"/>
          <w:color w:val="000000"/>
          <w:sz w:val="20"/>
          <w:szCs w:val="20"/>
        </w:rPr>
        <w:t xml:space="preserve">kW inverter from </w:t>
      </w:r>
      <w:r>
        <w:rPr>
          <w:rFonts w:asciiTheme="minorHAnsi" w:hAnsiTheme="minorHAnsi"/>
          <w:color w:val="000000"/>
          <w:sz w:val="20"/>
          <w:szCs w:val="20"/>
        </w:rPr>
        <w:t>M</w:t>
      </w:r>
      <w:r w:rsidRPr="00C93866">
        <w:rPr>
          <w:rFonts w:asciiTheme="minorHAnsi" w:hAnsiTheme="minorHAnsi"/>
          <w:color w:val="000000"/>
          <w:sz w:val="20"/>
          <w:szCs w:val="20"/>
        </w:rPr>
        <w:t xml:space="preserve">anufacturer </w:t>
      </w:r>
      <w:r w:rsidRPr="00A26CAD">
        <w:rPr>
          <w:rFonts w:asciiTheme="minorHAnsi" w:hAnsiTheme="minorHAnsi"/>
          <w:color w:val="000000"/>
          <w:sz w:val="20"/>
          <w:szCs w:val="20"/>
        </w:rPr>
        <w:t>A</w:t>
      </w:r>
      <w:r w:rsidRPr="00C93866">
        <w:rPr>
          <w:rFonts w:asciiTheme="minorHAnsi" w:hAnsiTheme="minorHAnsi"/>
          <w:color w:val="000000"/>
          <w:sz w:val="20"/>
          <w:szCs w:val="20"/>
        </w:rPr>
        <w:t xml:space="preserve"> with</w:t>
      </w:r>
      <w:r>
        <w:rPr>
          <w:rFonts w:asciiTheme="minorHAnsi" w:hAnsiTheme="minorHAnsi"/>
          <w:color w:val="000000"/>
          <w:sz w:val="20"/>
          <w:szCs w:val="20"/>
        </w:rPr>
        <w:t xml:space="preserve"> a</w:t>
      </w:r>
      <w:r w:rsidRPr="00C93866">
        <w:rPr>
          <w:rFonts w:asciiTheme="minorHAnsi" w:hAnsiTheme="minorHAnsi"/>
          <w:color w:val="000000"/>
          <w:sz w:val="20"/>
          <w:szCs w:val="20"/>
        </w:rPr>
        <w:t xml:space="preserve"> 5</w:t>
      </w:r>
      <w:r>
        <w:rPr>
          <w:rFonts w:asciiTheme="minorHAnsi" w:hAnsiTheme="minorHAnsi"/>
          <w:color w:val="000000"/>
          <w:sz w:val="20"/>
          <w:szCs w:val="20"/>
        </w:rPr>
        <w:t xml:space="preserve"> </w:t>
      </w:r>
      <w:r w:rsidRPr="00C93866">
        <w:rPr>
          <w:rFonts w:asciiTheme="minorHAnsi" w:hAnsiTheme="minorHAnsi"/>
          <w:color w:val="000000"/>
          <w:sz w:val="20"/>
          <w:szCs w:val="20"/>
        </w:rPr>
        <w:t xml:space="preserve">kW inverter from </w:t>
      </w:r>
      <w:r>
        <w:rPr>
          <w:rFonts w:asciiTheme="minorHAnsi" w:hAnsiTheme="minorHAnsi"/>
          <w:color w:val="000000"/>
          <w:sz w:val="20"/>
          <w:szCs w:val="20"/>
        </w:rPr>
        <w:t>M</w:t>
      </w:r>
      <w:r w:rsidRPr="00C93866">
        <w:rPr>
          <w:rFonts w:asciiTheme="minorHAnsi" w:hAnsiTheme="minorHAnsi"/>
          <w:color w:val="000000"/>
          <w:sz w:val="20"/>
          <w:szCs w:val="20"/>
        </w:rPr>
        <w:t xml:space="preserve">anufacturer </w:t>
      </w:r>
      <w:r w:rsidRPr="00A26CAD">
        <w:rPr>
          <w:rFonts w:asciiTheme="minorHAnsi" w:hAnsiTheme="minorHAnsi"/>
          <w:color w:val="000000"/>
          <w:sz w:val="20"/>
          <w:szCs w:val="20"/>
        </w:rPr>
        <w:t>B</w:t>
      </w:r>
      <w:r w:rsidRPr="00C93866">
        <w:rPr>
          <w:rFonts w:asciiTheme="minorHAnsi" w:hAnsiTheme="minorHAnsi"/>
          <w:color w:val="000000"/>
          <w:sz w:val="20"/>
          <w:szCs w:val="20"/>
        </w:rPr>
        <w:t xml:space="preserve"> provided </w:t>
      </w:r>
      <w:r>
        <w:rPr>
          <w:rFonts w:asciiTheme="minorHAnsi" w:hAnsiTheme="minorHAnsi"/>
          <w:color w:val="000000"/>
          <w:sz w:val="20"/>
          <w:szCs w:val="20"/>
        </w:rPr>
        <w:t xml:space="preserve">the </w:t>
      </w:r>
      <w:r w:rsidRPr="00C93866">
        <w:rPr>
          <w:rFonts w:asciiTheme="minorHAnsi" w:hAnsiTheme="minorHAnsi"/>
          <w:color w:val="000000"/>
          <w:sz w:val="20"/>
          <w:szCs w:val="20"/>
        </w:rPr>
        <w:t>short circuit rating is equal or less.</w:t>
      </w:r>
    </w:p>
  </w:footnote>
  <w:footnote w:id="4">
    <w:p w14:paraId="3BA3A12C" w14:textId="13F41CD6" w:rsidR="00C41B93" w:rsidRDefault="00C41B93">
      <w:pPr>
        <w:pStyle w:val="FootnoteText"/>
      </w:pPr>
      <w:r w:rsidRPr="003D35F7">
        <w:rPr>
          <w:rStyle w:val="FootnoteReference"/>
        </w:rPr>
        <w:footnoteRef/>
      </w:r>
      <w:r w:rsidRPr="003D35F7">
        <w:t xml:space="preserve"> </w:t>
      </w:r>
      <w:r>
        <w:t>“</w:t>
      </w:r>
      <w:r w:rsidRPr="003D35F7">
        <w:t>Size</w:t>
      </w:r>
      <w:r>
        <w:t>”</w:t>
      </w:r>
      <w:r w:rsidRPr="003D35F7">
        <w:t xml:space="preserve"> means the limiting </w:t>
      </w:r>
      <w:r>
        <w:t xml:space="preserve">capacity </w:t>
      </w:r>
      <w:r w:rsidRPr="003D35F7">
        <w:t xml:space="preserve">factor used to perform the </w:t>
      </w:r>
      <w:r w:rsidRPr="00ED3F36">
        <w:t xml:space="preserve">study </w:t>
      </w:r>
      <w:r>
        <w:t xml:space="preserve">(e.g. the </w:t>
      </w:r>
      <w:r w:rsidRPr="003D35F7">
        <w:t>inverter nameplat</w:t>
      </w:r>
      <w:r w:rsidRPr="00ED3F36">
        <w:t>e capacity</w:t>
      </w:r>
      <w:r>
        <w:t xml:space="preserve"> and storage capacity in both kW and kWh)</w:t>
      </w:r>
      <w:r w:rsidRPr="00ED3F36">
        <w:t>. If t</w:t>
      </w:r>
      <w:r w:rsidRPr="00DF2A21">
        <w:t>he injection, absorption and short circuit contribution of a DER do</w:t>
      </w:r>
      <w:r>
        <w:t>esn’t</w:t>
      </w:r>
      <w:r w:rsidRPr="003D35F7">
        <w:t xml:space="preserve"> increase, </w:t>
      </w:r>
      <w:r w:rsidRPr="00ED3F36">
        <w:t>this should be a</w:t>
      </w:r>
      <w:r w:rsidRPr="00DF2A21">
        <w:t xml:space="preserve">n allowable </w:t>
      </w:r>
      <w:r w:rsidRPr="003D35F7">
        <w:t>modification.</w:t>
      </w:r>
    </w:p>
  </w:footnote>
  <w:footnote w:id="5">
    <w:p w14:paraId="1A158DFD" w14:textId="1D519F10" w:rsidR="00C41B93" w:rsidRDefault="00C41B93" w:rsidP="005E0932">
      <w:pPr>
        <w:pStyle w:val="FootnoteText"/>
      </w:pPr>
      <w:r>
        <w:rPr>
          <w:rStyle w:val="FootnoteReference"/>
        </w:rPr>
        <w:footnoteRef/>
      </w:r>
      <w:r>
        <w:t xml:space="preserve"> SCE reviews interconnection requests based on the gross nameplate rating of the inverter, while PG&amp;E and SDG&amp;E review interconnection requests based on the lessor of the gross nameplate rating of the inverter and the aggregate CEC AC rating of the panels/system. Thus, increasing the number of panels is an acceptable modification for SCE, but </w:t>
      </w:r>
      <w:ins w:id="12" w:author="Brad Heavner" w:date="2018-02-01T06:04:00Z">
        <w:r>
          <w:t xml:space="preserve">may </w:t>
        </w:r>
      </w:ins>
      <w:r>
        <w:t>not</w:t>
      </w:r>
      <w:ins w:id="13" w:author="Brad Heavner" w:date="2018-02-01T06:04:00Z">
        <w:r>
          <w:t xml:space="preserve"> be</w:t>
        </w:r>
      </w:ins>
      <w:r>
        <w:t xml:space="preserve"> for PG&amp;E or SDG&amp;E.</w:t>
      </w:r>
    </w:p>
  </w:footnote>
  <w:footnote w:id="6">
    <w:p w14:paraId="0D242CBC" w14:textId="77777777" w:rsidR="00C41B93" w:rsidRDefault="00C41B93" w:rsidP="003D35F7">
      <w:pPr>
        <w:pStyle w:val="FootnoteText"/>
      </w:pPr>
      <w:r>
        <w:rPr>
          <w:rStyle w:val="FootnoteReference"/>
        </w:rPr>
        <w:footnoteRef/>
      </w:r>
      <w:r>
        <w:t xml:space="preserve"> </w:t>
      </w:r>
      <w:r w:rsidRPr="00AB6C41">
        <w:t>https://www.sce.com/nr/sc3/tm2/pdf/rule21_1.pdf</w:t>
      </w:r>
    </w:p>
  </w:footnote>
  <w:footnote w:id="7">
    <w:p w14:paraId="3DBCACB2" w14:textId="77777777" w:rsidR="00C41B93" w:rsidRDefault="00C41B93" w:rsidP="00A01943">
      <w:pPr>
        <w:pStyle w:val="FootnoteText"/>
      </w:pPr>
      <w:r>
        <w:rPr>
          <w:rStyle w:val="FootnoteReference"/>
        </w:rPr>
        <w:footnoteRef/>
      </w:r>
      <w:r>
        <w:t xml:space="preserve"> </w:t>
      </w:r>
      <w:hyperlink r:id="rId2" w:history="1">
        <w:r w:rsidRPr="00493806">
          <w:rPr>
            <w:rStyle w:val="Hyperlink"/>
          </w:rPr>
          <w:t>https://www.pge.com/tariffs/tm2/pdf/ELEC_RULES_21.pdf</w:t>
        </w:r>
      </w:hyperlink>
    </w:p>
  </w:footnote>
  <w:footnote w:id="8">
    <w:p w14:paraId="0A39EBE1" w14:textId="77777777" w:rsidR="00C41B93" w:rsidRDefault="00C41B93" w:rsidP="00A01943">
      <w:pPr>
        <w:pStyle w:val="FootnoteText"/>
      </w:pPr>
      <w:r>
        <w:rPr>
          <w:rStyle w:val="FootnoteReference"/>
        </w:rPr>
        <w:footnoteRef/>
      </w:r>
      <w:r>
        <w:t xml:space="preserve"> (Page 6) </w:t>
      </w:r>
      <w:hyperlink r:id="rId3" w:history="1">
        <w:r w:rsidRPr="004556C9">
          <w:rPr>
            <w:rStyle w:val="Hyperlink"/>
          </w:rPr>
          <w:t>https://www.pge.com/pge_global/common/pdfs/for-our-business-partners/interconnection-renewables/GuidetoEnergyStorageChargingIssues.pdf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9E4B5C" w14:textId="51A4139B" w:rsidR="00C41B93" w:rsidRDefault="00C41B93" w:rsidP="00556B2D">
    <w:pPr>
      <w:pStyle w:val="Header"/>
      <w:jc w:val="right"/>
    </w:pPr>
    <w:r>
      <w:t>Revised 1/24/18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DA"/>
    <w:multiLevelType w:val="hybridMultilevel"/>
    <w:tmpl w:val="D1565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6A3060"/>
    <w:multiLevelType w:val="hybridMultilevel"/>
    <w:tmpl w:val="E026B138"/>
    <w:lvl w:ilvl="0" w:tplc="3978F800">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851F7B"/>
    <w:multiLevelType w:val="hybridMultilevel"/>
    <w:tmpl w:val="10F029C2"/>
    <w:lvl w:ilvl="0" w:tplc="66289C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587739"/>
    <w:multiLevelType w:val="hybridMultilevel"/>
    <w:tmpl w:val="40CA068E"/>
    <w:lvl w:ilvl="0" w:tplc="AE347E0E">
      <w:start w:val="1"/>
      <w:numFmt w:val="lowerRoman"/>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5553F8"/>
    <w:multiLevelType w:val="hybridMultilevel"/>
    <w:tmpl w:val="3910999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5C3D30"/>
    <w:multiLevelType w:val="hybridMultilevel"/>
    <w:tmpl w:val="1BC22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F866ED"/>
    <w:multiLevelType w:val="hybridMultilevel"/>
    <w:tmpl w:val="666E1F76"/>
    <w:lvl w:ilvl="0" w:tplc="72DCD768">
      <w:start w:val="1"/>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6236D57"/>
    <w:multiLevelType w:val="hybridMultilevel"/>
    <w:tmpl w:val="1A046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95B83"/>
    <w:multiLevelType w:val="hybridMultilevel"/>
    <w:tmpl w:val="817E27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1E707188"/>
    <w:multiLevelType w:val="multilevel"/>
    <w:tmpl w:val="9F7E53C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1EF8543F"/>
    <w:multiLevelType w:val="hybridMultilevel"/>
    <w:tmpl w:val="F7BC98D4"/>
    <w:lvl w:ilvl="0" w:tplc="AE347E0E">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26209B"/>
    <w:multiLevelType w:val="hybridMultilevel"/>
    <w:tmpl w:val="3DB84C4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3CB65D0"/>
    <w:multiLevelType w:val="hybridMultilevel"/>
    <w:tmpl w:val="30C44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35C67"/>
    <w:multiLevelType w:val="hybridMultilevel"/>
    <w:tmpl w:val="0C06C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327709"/>
    <w:multiLevelType w:val="multilevel"/>
    <w:tmpl w:val="AB14C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DCA4B51"/>
    <w:multiLevelType w:val="hybridMultilevel"/>
    <w:tmpl w:val="4AC4A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310D4D"/>
    <w:multiLevelType w:val="hybridMultilevel"/>
    <w:tmpl w:val="D932041E"/>
    <w:lvl w:ilvl="0" w:tplc="04090013">
      <w:start w:val="1"/>
      <w:numFmt w:val="upperRoman"/>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3EE7D93"/>
    <w:multiLevelType w:val="hybridMultilevel"/>
    <w:tmpl w:val="A484F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7F28DF"/>
    <w:multiLevelType w:val="hybridMultilevel"/>
    <w:tmpl w:val="46EC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921AE1"/>
    <w:multiLevelType w:val="hybridMultilevel"/>
    <w:tmpl w:val="9D7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B6155A"/>
    <w:multiLevelType w:val="multilevel"/>
    <w:tmpl w:val="824894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nsid w:val="3AE819A3"/>
    <w:multiLevelType w:val="hybridMultilevel"/>
    <w:tmpl w:val="4BBCD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41484"/>
    <w:multiLevelType w:val="hybridMultilevel"/>
    <w:tmpl w:val="D256CD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76994"/>
    <w:multiLevelType w:val="hybridMultilevel"/>
    <w:tmpl w:val="338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157BF"/>
    <w:multiLevelType w:val="hybridMultilevel"/>
    <w:tmpl w:val="6C8E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0249A3"/>
    <w:multiLevelType w:val="hybridMultilevel"/>
    <w:tmpl w:val="5F92B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EC6BF2"/>
    <w:multiLevelType w:val="hybridMultilevel"/>
    <w:tmpl w:val="F63022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64E01"/>
    <w:multiLevelType w:val="hybridMultilevel"/>
    <w:tmpl w:val="8EA0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740F73"/>
    <w:multiLevelType w:val="hybridMultilevel"/>
    <w:tmpl w:val="31A60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740C3D"/>
    <w:multiLevelType w:val="hybridMultilevel"/>
    <w:tmpl w:val="97922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0">
    <w:nsid w:val="64DE5EAC"/>
    <w:multiLevelType w:val="hybridMultilevel"/>
    <w:tmpl w:val="518AA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F1A25"/>
    <w:multiLevelType w:val="hybridMultilevel"/>
    <w:tmpl w:val="BCEC4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F15224"/>
    <w:multiLevelType w:val="hybridMultilevel"/>
    <w:tmpl w:val="0B52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2F2B33"/>
    <w:multiLevelType w:val="hybridMultilevel"/>
    <w:tmpl w:val="F20AF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04D84"/>
    <w:multiLevelType w:val="hybridMultilevel"/>
    <w:tmpl w:val="1444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3554DAB"/>
    <w:multiLevelType w:val="hybridMultilevel"/>
    <w:tmpl w:val="DE32E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3EA2949"/>
    <w:multiLevelType w:val="hybridMultilevel"/>
    <w:tmpl w:val="350C8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343CC"/>
    <w:multiLevelType w:val="hybridMultilevel"/>
    <w:tmpl w:val="49F2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174748"/>
    <w:multiLevelType w:val="hybridMultilevel"/>
    <w:tmpl w:val="BCDE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0A2D80"/>
    <w:multiLevelType w:val="hybridMultilevel"/>
    <w:tmpl w:val="FF5C1E5C"/>
    <w:lvl w:ilvl="0" w:tplc="2DA8F9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667A8C"/>
    <w:multiLevelType w:val="hybridMultilevel"/>
    <w:tmpl w:val="65A03790"/>
    <w:lvl w:ilvl="0" w:tplc="181E923A">
      <w:start w:val="1"/>
      <w:numFmt w:val="decimal"/>
      <w:lvlText w:val="%1)"/>
      <w:lvlJc w:val="left"/>
      <w:pPr>
        <w:ind w:left="720" w:hanging="360"/>
      </w:pPr>
      <w:rPr>
        <w:rFonts w:ascii="Calibri" w:eastAsia="Calibri" w:hAnsi="Calibri" w:cs="Times New Roman"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EAE381B"/>
    <w:multiLevelType w:val="hybridMultilevel"/>
    <w:tmpl w:val="8DE04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8"/>
  </w:num>
  <w:num w:numId="5">
    <w:abstractNumId w:val="20"/>
  </w:num>
  <w:num w:numId="6">
    <w:abstractNumId w:val="6"/>
  </w:num>
  <w:num w:numId="7">
    <w:abstractNumId w:val="40"/>
  </w:num>
  <w:num w:numId="8">
    <w:abstractNumId w:val="37"/>
  </w:num>
  <w:num w:numId="9">
    <w:abstractNumId w:val="5"/>
  </w:num>
  <w:num w:numId="10">
    <w:abstractNumId w:val="19"/>
  </w:num>
  <w:num w:numId="11">
    <w:abstractNumId w:val="28"/>
  </w:num>
  <w:num w:numId="12">
    <w:abstractNumId w:val="3"/>
  </w:num>
  <w:num w:numId="13">
    <w:abstractNumId w:val="16"/>
  </w:num>
  <w:num w:numId="14">
    <w:abstractNumId w:val="10"/>
  </w:num>
  <w:num w:numId="15">
    <w:abstractNumId w:val="0"/>
  </w:num>
  <w:num w:numId="16">
    <w:abstractNumId w:val="30"/>
  </w:num>
  <w:num w:numId="17">
    <w:abstractNumId w:val="4"/>
  </w:num>
  <w:num w:numId="18">
    <w:abstractNumId w:val="7"/>
  </w:num>
  <w:num w:numId="19">
    <w:abstractNumId w:val="32"/>
  </w:num>
  <w:num w:numId="20">
    <w:abstractNumId w:val="1"/>
  </w:num>
  <w:num w:numId="21">
    <w:abstractNumId w:val="9"/>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11"/>
  </w:num>
  <w:num w:numId="26">
    <w:abstractNumId w:val="22"/>
  </w:num>
  <w:num w:numId="27">
    <w:abstractNumId w:val="12"/>
  </w:num>
  <w:num w:numId="28">
    <w:abstractNumId w:val="2"/>
  </w:num>
  <w:num w:numId="29">
    <w:abstractNumId w:val="34"/>
  </w:num>
  <w:num w:numId="30">
    <w:abstractNumId w:val="33"/>
  </w:num>
  <w:num w:numId="31">
    <w:abstractNumId w:val="35"/>
  </w:num>
  <w:num w:numId="32">
    <w:abstractNumId w:val="15"/>
  </w:num>
  <w:num w:numId="33">
    <w:abstractNumId w:val="38"/>
  </w:num>
  <w:num w:numId="34">
    <w:abstractNumId w:val="18"/>
  </w:num>
  <w:num w:numId="35">
    <w:abstractNumId w:val="36"/>
  </w:num>
  <w:num w:numId="36">
    <w:abstractNumId w:val="39"/>
  </w:num>
  <w:num w:numId="37">
    <w:abstractNumId w:val="31"/>
  </w:num>
  <w:num w:numId="38">
    <w:abstractNumId w:val="41"/>
  </w:num>
  <w:num w:numId="39">
    <w:abstractNumId w:val="24"/>
  </w:num>
  <w:num w:numId="40">
    <w:abstractNumId w:val="27"/>
  </w:num>
  <w:num w:numId="41">
    <w:abstractNumId w:val="23"/>
  </w:num>
  <w:num w:numId="42">
    <w:abstractNumId w:val="26"/>
  </w:num>
  <w:num w:numId="43">
    <w:abstractNumId w:val="13"/>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zCwNDEyMjAzMDMyMzJR0lEKTi0uzszPAykwqgUACUVv3SwAAAA="/>
  </w:docVars>
  <w:rsids>
    <w:rsidRoot w:val="008611E7"/>
    <w:rsid w:val="00001025"/>
    <w:rsid w:val="00014E6E"/>
    <w:rsid w:val="000154A1"/>
    <w:rsid w:val="00030AC1"/>
    <w:rsid w:val="00032734"/>
    <w:rsid w:val="00034B3F"/>
    <w:rsid w:val="00035B90"/>
    <w:rsid w:val="00036B1F"/>
    <w:rsid w:val="0004339A"/>
    <w:rsid w:val="00044A91"/>
    <w:rsid w:val="0004719A"/>
    <w:rsid w:val="00071B57"/>
    <w:rsid w:val="0007489C"/>
    <w:rsid w:val="0008143A"/>
    <w:rsid w:val="00090171"/>
    <w:rsid w:val="00090F46"/>
    <w:rsid w:val="00091510"/>
    <w:rsid w:val="00091ECD"/>
    <w:rsid w:val="000927E3"/>
    <w:rsid w:val="00095D4B"/>
    <w:rsid w:val="000A0226"/>
    <w:rsid w:val="000A1D16"/>
    <w:rsid w:val="000A2DF2"/>
    <w:rsid w:val="000A2E87"/>
    <w:rsid w:val="000A571D"/>
    <w:rsid w:val="000A5D2D"/>
    <w:rsid w:val="000B14AA"/>
    <w:rsid w:val="000C18B3"/>
    <w:rsid w:val="000C5BE4"/>
    <w:rsid w:val="000C76B6"/>
    <w:rsid w:val="000C782F"/>
    <w:rsid w:val="000E021C"/>
    <w:rsid w:val="000E0E0A"/>
    <w:rsid w:val="000E3AA7"/>
    <w:rsid w:val="000E5052"/>
    <w:rsid w:val="000E7396"/>
    <w:rsid w:val="000E7440"/>
    <w:rsid w:val="000F229C"/>
    <w:rsid w:val="000F407B"/>
    <w:rsid w:val="000F63E3"/>
    <w:rsid w:val="00104332"/>
    <w:rsid w:val="00104C74"/>
    <w:rsid w:val="001067FE"/>
    <w:rsid w:val="0010773F"/>
    <w:rsid w:val="00110BDE"/>
    <w:rsid w:val="00121A53"/>
    <w:rsid w:val="001239CA"/>
    <w:rsid w:val="00123D2F"/>
    <w:rsid w:val="00123FD7"/>
    <w:rsid w:val="00144E1A"/>
    <w:rsid w:val="001552A4"/>
    <w:rsid w:val="00157BDE"/>
    <w:rsid w:val="00164530"/>
    <w:rsid w:val="001672F6"/>
    <w:rsid w:val="0017084E"/>
    <w:rsid w:val="00171AE0"/>
    <w:rsid w:val="001809A1"/>
    <w:rsid w:val="00180C24"/>
    <w:rsid w:val="00187B80"/>
    <w:rsid w:val="00190E6F"/>
    <w:rsid w:val="00194117"/>
    <w:rsid w:val="00194670"/>
    <w:rsid w:val="001971E7"/>
    <w:rsid w:val="001A0AF7"/>
    <w:rsid w:val="001A1C4C"/>
    <w:rsid w:val="001A43DF"/>
    <w:rsid w:val="001A7BE4"/>
    <w:rsid w:val="001B1AD4"/>
    <w:rsid w:val="001B4409"/>
    <w:rsid w:val="001B6F20"/>
    <w:rsid w:val="001C5AFC"/>
    <w:rsid w:val="001C66D5"/>
    <w:rsid w:val="001C71DC"/>
    <w:rsid w:val="001D05D4"/>
    <w:rsid w:val="001D13EC"/>
    <w:rsid w:val="001D7580"/>
    <w:rsid w:val="001E1C3C"/>
    <w:rsid w:val="001E357A"/>
    <w:rsid w:val="001E39C2"/>
    <w:rsid w:val="001E3DCD"/>
    <w:rsid w:val="001E6C4A"/>
    <w:rsid w:val="00200275"/>
    <w:rsid w:val="002026DD"/>
    <w:rsid w:val="00204E5D"/>
    <w:rsid w:val="002074EF"/>
    <w:rsid w:val="00213B23"/>
    <w:rsid w:val="00214EAD"/>
    <w:rsid w:val="00215C31"/>
    <w:rsid w:val="0022330E"/>
    <w:rsid w:val="00230FD8"/>
    <w:rsid w:val="00232EC1"/>
    <w:rsid w:val="00245721"/>
    <w:rsid w:val="00251483"/>
    <w:rsid w:val="00264709"/>
    <w:rsid w:val="00266369"/>
    <w:rsid w:val="00270EC2"/>
    <w:rsid w:val="0027320E"/>
    <w:rsid w:val="00273C82"/>
    <w:rsid w:val="00282049"/>
    <w:rsid w:val="002820D7"/>
    <w:rsid w:val="00287BCE"/>
    <w:rsid w:val="00291FD1"/>
    <w:rsid w:val="0029381E"/>
    <w:rsid w:val="00297D51"/>
    <w:rsid w:val="002A02B1"/>
    <w:rsid w:val="002A2011"/>
    <w:rsid w:val="002A4060"/>
    <w:rsid w:val="002A56E1"/>
    <w:rsid w:val="002B0DD7"/>
    <w:rsid w:val="002B664C"/>
    <w:rsid w:val="002C0DDB"/>
    <w:rsid w:val="002C7840"/>
    <w:rsid w:val="002D1F2D"/>
    <w:rsid w:val="002D57A8"/>
    <w:rsid w:val="002D59EC"/>
    <w:rsid w:val="002E0C77"/>
    <w:rsid w:val="002E188C"/>
    <w:rsid w:val="002E3C6E"/>
    <w:rsid w:val="002F6C6A"/>
    <w:rsid w:val="002F7487"/>
    <w:rsid w:val="00311FA9"/>
    <w:rsid w:val="00316B52"/>
    <w:rsid w:val="0031758E"/>
    <w:rsid w:val="00317CBF"/>
    <w:rsid w:val="00320B3D"/>
    <w:rsid w:val="00322669"/>
    <w:rsid w:val="003340DE"/>
    <w:rsid w:val="00341A82"/>
    <w:rsid w:val="00351258"/>
    <w:rsid w:val="00361A89"/>
    <w:rsid w:val="00370005"/>
    <w:rsid w:val="00370B84"/>
    <w:rsid w:val="00370C43"/>
    <w:rsid w:val="003751C7"/>
    <w:rsid w:val="0038030A"/>
    <w:rsid w:val="0038170C"/>
    <w:rsid w:val="00384CF3"/>
    <w:rsid w:val="00385756"/>
    <w:rsid w:val="00394B17"/>
    <w:rsid w:val="00397A7E"/>
    <w:rsid w:val="003A1E86"/>
    <w:rsid w:val="003A7CDE"/>
    <w:rsid w:val="003B0547"/>
    <w:rsid w:val="003B5E31"/>
    <w:rsid w:val="003C0FE5"/>
    <w:rsid w:val="003C1331"/>
    <w:rsid w:val="003C7027"/>
    <w:rsid w:val="003C708B"/>
    <w:rsid w:val="003D35F7"/>
    <w:rsid w:val="003E31B5"/>
    <w:rsid w:val="003E5490"/>
    <w:rsid w:val="00404278"/>
    <w:rsid w:val="0040584C"/>
    <w:rsid w:val="00406F1D"/>
    <w:rsid w:val="004106EE"/>
    <w:rsid w:val="004213BB"/>
    <w:rsid w:val="00423C61"/>
    <w:rsid w:val="00423EF6"/>
    <w:rsid w:val="00424E8B"/>
    <w:rsid w:val="004251CD"/>
    <w:rsid w:val="00435B64"/>
    <w:rsid w:val="0043656B"/>
    <w:rsid w:val="0043661E"/>
    <w:rsid w:val="00436F72"/>
    <w:rsid w:val="00440DA6"/>
    <w:rsid w:val="00441C53"/>
    <w:rsid w:val="004421DA"/>
    <w:rsid w:val="004479EC"/>
    <w:rsid w:val="004520E5"/>
    <w:rsid w:val="00455D49"/>
    <w:rsid w:val="004602D9"/>
    <w:rsid w:val="0047080E"/>
    <w:rsid w:val="0048318C"/>
    <w:rsid w:val="004854EA"/>
    <w:rsid w:val="0048756A"/>
    <w:rsid w:val="004938C7"/>
    <w:rsid w:val="00497A13"/>
    <w:rsid w:val="004A727E"/>
    <w:rsid w:val="004A7D93"/>
    <w:rsid w:val="004B446B"/>
    <w:rsid w:val="004B538D"/>
    <w:rsid w:val="004B6717"/>
    <w:rsid w:val="004C0E12"/>
    <w:rsid w:val="004C66DF"/>
    <w:rsid w:val="004D06BD"/>
    <w:rsid w:val="004D2B8E"/>
    <w:rsid w:val="004D4033"/>
    <w:rsid w:val="004E19B3"/>
    <w:rsid w:val="004E277B"/>
    <w:rsid w:val="004E7977"/>
    <w:rsid w:val="004F2E3F"/>
    <w:rsid w:val="004F7070"/>
    <w:rsid w:val="00500C8B"/>
    <w:rsid w:val="00511213"/>
    <w:rsid w:val="005159DC"/>
    <w:rsid w:val="00515D80"/>
    <w:rsid w:val="005165F8"/>
    <w:rsid w:val="00516DFC"/>
    <w:rsid w:val="00516E44"/>
    <w:rsid w:val="005203A5"/>
    <w:rsid w:val="005209F9"/>
    <w:rsid w:val="00522BBD"/>
    <w:rsid w:val="0053550F"/>
    <w:rsid w:val="00536F78"/>
    <w:rsid w:val="00540A7F"/>
    <w:rsid w:val="00542549"/>
    <w:rsid w:val="0055119F"/>
    <w:rsid w:val="00556B2D"/>
    <w:rsid w:val="005607CB"/>
    <w:rsid w:val="00561ACC"/>
    <w:rsid w:val="00563122"/>
    <w:rsid w:val="0056354A"/>
    <w:rsid w:val="0057082F"/>
    <w:rsid w:val="005802D3"/>
    <w:rsid w:val="00580724"/>
    <w:rsid w:val="005823F0"/>
    <w:rsid w:val="00583459"/>
    <w:rsid w:val="00583657"/>
    <w:rsid w:val="00591EA8"/>
    <w:rsid w:val="0059761C"/>
    <w:rsid w:val="005A22E2"/>
    <w:rsid w:val="005A7B04"/>
    <w:rsid w:val="005C1D06"/>
    <w:rsid w:val="005D3425"/>
    <w:rsid w:val="005D5C82"/>
    <w:rsid w:val="005D73D4"/>
    <w:rsid w:val="005E0932"/>
    <w:rsid w:val="005E1B08"/>
    <w:rsid w:val="005E2B23"/>
    <w:rsid w:val="005E6357"/>
    <w:rsid w:val="005F3B1C"/>
    <w:rsid w:val="006018A6"/>
    <w:rsid w:val="00607983"/>
    <w:rsid w:val="00612899"/>
    <w:rsid w:val="00614160"/>
    <w:rsid w:val="006202AA"/>
    <w:rsid w:val="00623831"/>
    <w:rsid w:val="00632835"/>
    <w:rsid w:val="00643AE8"/>
    <w:rsid w:val="00644E94"/>
    <w:rsid w:val="006457C4"/>
    <w:rsid w:val="00646303"/>
    <w:rsid w:val="00646864"/>
    <w:rsid w:val="0065210B"/>
    <w:rsid w:val="00654527"/>
    <w:rsid w:val="006622F7"/>
    <w:rsid w:val="00662C28"/>
    <w:rsid w:val="006669F2"/>
    <w:rsid w:val="00667A4C"/>
    <w:rsid w:val="0067522C"/>
    <w:rsid w:val="00676C30"/>
    <w:rsid w:val="006806E7"/>
    <w:rsid w:val="006871FB"/>
    <w:rsid w:val="00692194"/>
    <w:rsid w:val="00693175"/>
    <w:rsid w:val="00697DB8"/>
    <w:rsid w:val="006A25AE"/>
    <w:rsid w:val="006D3EF0"/>
    <w:rsid w:val="006D3F5E"/>
    <w:rsid w:val="006D6B6B"/>
    <w:rsid w:val="006E7A7C"/>
    <w:rsid w:val="006F04A8"/>
    <w:rsid w:val="006F71BA"/>
    <w:rsid w:val="00705CD6"/>
    <w:rsid w:val="00705EC5"/>
    <w:rsid w:val="00707F73"/>
    <w:rsid w:val="007108C1"/>
    <w:rsid w:val="00711C78"/>
    <w:rsid w:val="007164F7"/>
    <w:rsid w:val="00726BAC"/>
    <w:rsid w:val="007303D1"/>
    <w:rsid w:val="00731204"/>
    <w:rsid w:val="00732CE9"/>
    <w:rsid w:val="00733C78"/>
    <w:rsid w:val="0074246B"/>
    <w:rsid w:val="00746B63"/>
    <w:rsid w:val="007500C1"/>
    <w:rsid w:val="00751BC3"/>
    <w:rsid w:val="0076019D"/>
    <w:rsid w:val="00760F1B"/>
    <w:rsid w:val="0076503F"/>
    <w:rsid w:val="007703AE"/>
    <w:rsid w:val="0077689D"/>
    <w:rsid w:val="00785B56"/>
    <w:rsid w:val="007954D2"/>
    <w:rsid w:val="00795FE5"/>
    <w:rsid w:val="007B3DCF"/>
    <w:rsid w:val="007B3EB2"/>
    <w:rsid w:val="007B5F61"/>
    <w:rsid w:val="007D0A2B"/>
    <w:rsid w:val="007D416A"/>
    <w:rsid w:val="007E05ED"/>
    <w:rsid w:val="007E14FE"/>
    <w:rsid w:val="007E1A1B"/>
    <w:rsid w:val="007E3601"/>
    <w:rsid w:val="007F194A"/>
    <w:rsid w:val="00800F93"/>
    <w:rsid w:val="0081021F"/>
    <w:rsid w:val="00811483"/>
    <w:rsid w:val="00814A43"/>
    <w:rsid w:val="00822A43"/>
    <w:rsid w:val="00822E16"/>
    <w:rsid w:val="00826E32"/>
    <w:rsid w:val="00827804"/>
    <w:rsid w:val="00837C66"/>
    <w:rsid w:val="0084542B"/>
    <w:rsid w:val="00851893"/>
    <w:rsid w:val="00856644"/>
    <w:rsid w:val="008611E7"/>
    <w:rsid w:val="00866C2C"/>
    <w:rsid w:val="00867666"/>
    <w:rsid w:val="00895302"/>
    <w:rsid w:val="008A331A"/>
    <w:rsid w:val="008A41EE"/>
    <w:rsid w:val="008B1636"/>
    <w:rsid w:val="008B2C7D"/>
    <w:rsid w:val="008B5D4D"/>
    <w:rsid w:val="008B716C"/>
    <w:rsid w:val="008B7EAA"/>
    <w:rsid w:val="008C224F"/>
    <w:rsid w:val="008C392D"/>
    <w:rsid w:val="008C5061"/>
    <w:rsid w:val="008D4F6F"/>
    <w:rsid w:val="008E0054"/>
    <w:rsid w:val="008E27F4"/>
    <w:rsid w:val="008E70B1"/>
    <w:rsid w:val="008E7C42"/>
    <w:rsid w:val="008E7DF5"/>
    <w:rsid w:val="008F1141"/>
    <w:rsid w:val="008F29EE"/>
    <w:rsid w:val="008F4399"/>
    <w:rsid w:val="008F5DF8"/>
    <w:rsid w:val="008F6E4D"/>
    <w:rsid w:val="008F7500"/>
    <w:rsid w:val="009019D3"/>
    <w:rsid w:val="00902351"/>
    <w:rsid w:val="0090575D"/>
    <w:rsid w:val="00905964"/>
    <w:rsid w:val="0091166C"/>
    <w:rsid w:val="00914EAC"/>
    <w:rsid w:val="00923314"/>
    <w:rsid w:val="009247B1"/>
    <w:rsid w:val="00926DB2"/>
    <w:rsid w:val="00927416"/>
    <w:rsid w:val="00930B76"/>
    <w:rsid w:val="00931ECE"/>
    <w:rsid w:val="00932032"/>
    <w:rsid w:val="00932A88"/>
    <w:rsid w:val="00941D28"/>
    <w:rsid w:val="00952FFB"/>
    <w:rsid w:val="00954274"/>
    <w:rsid w:val="009568A2"/>
    <w:rsid w:val="00961BDF"/>
    <w:rsid w:val="00962623"/>
    <w:rsid w:val="009663C7"/>
    <w:rsid w:val="009665B7"/>
    <w:rsid w:val="009710B5"/>
    <w:rsid w:val="00973AF7"/>
    <w:rsid w:val="00976900"/>
    <w:rsid w:val="009835B0"/>
    <w:rsid w:val="009845F6"/>
    <w:rsid w:val="00993C99"/>
    <w:rsid w:val="00993E62"/>
    <w:rsid w:val="009A18A9"/>
    <w:rsid w:val="009A4949"/>
    <w:rsid w:val="009A4A4B"/>
    <w:rsid w:val="009B4DED"/>
    <w:rsid w:val="009B4E43"/>
    <w:rsid w:val="009B73DB"/>
    <w:rsid w:val="009C7D24"/>
    <w:rsid w:val="009C7ECD"/>
    <w:rsid w:val="009D02FC"/>
    <w:rsid w:val="009D40E7"/>
    <w:rsid w:val="009D44E8"/>
    <w:rsid w:val="009D4761"/>
    <w:rsid w:val="009D489C"/>
    <w:rsid w:val="009E34CE"/>
    <w:rsid w:val="009E5862"/>
    <w:rsid w:val="009E71C3"/>
    <w:rsid w:val="00A01943"/>
    <w:rsid w:val="00A11916"/>
    <w:rsid w:val="00A12BD1"/>
    <w:rsid w:val="00A13FF2"/>
    <w:rsid w:val="00A15252"/>
    <w:rsid w:val="00A16802"/>
    <w:rsid w:val="00A23EAE"/>
    <w:rsid w:val="00A23ED1"/>
    <w:rsid w:val="00A25A19"/>
    <w:rsid w:val="00A26784"/>
    <w:rsid w:val="00A323D9"/>
    <w:rsid w:val="00A33C5A"/>
    <w:rsid w:val="00A37023"/>
    <w:rsid w:val="00A44A92"/>
    <w:rsid w:val="00A45CE4"/>
    <w:rsid w:val="00A53699"/>
    <w:rsid w:val="00A60C49"/>
    <w:rsid w:val="00A635F7"/>
    <w:rsid w:val="00A7443A"/>
    <w:rsid w:val="00A84377"/>
    <w:rsid w:val="00A864C9"/>
    <w:rsid w:val="00AA13FC"/>
    <w:rsid w:val="00AA2955"/>
    <w:rsid w:val="00AB2AE0"/>
    <w:rsid w:val="00AB35B0"/>
    <w:rsid w:val="00AB6C41"/>
    <w:rsid w:val="00AC021D"/>
    <w:rsid w:val="00AC0554"/>
    <w:rsid w:val="00AC37D8"/>
    <w:rsid w:val="00AC3ACD"/>
    <w:rsid w:val="00AC5885"/>
    <w:rsid w:val="00AC7165"/>
    <w:rsid w:val="00AD1478"/>
    <w:rsid w:val="00AD1E7F"/>
    <w:rsid w:val="00AD45DC"/>
    <w:rsid w:val="00AE25DF"/>
    <w:rsid w:val="00AE3E99"/>
    <w:rsid w:val="00B06BAE"/>
    <w:rsid w:val="00B06C12"/>
    <w:rsid w:val="00B07C41"/>
    <w:rsid w:val="00B07F01"/>
    <w:rsid w:val="00B127E6"/>
    <w:rsid w:val="00B23D4C"/>
    <w:rsid w:val="00B263DA"/>
    <w:rsid w:val="00B264D3"/>
    <w:rsid w:val="00B27A85"/>
    <w:rsid w:val="00B3623B"/>
    <w:rsid w:val="00B40F6A"/>
    <w:rsid w:val="00B4330D"/>
    <w:rsid w:val="00B469C3"/>
    <w:rsid w:val="00B47737"/>
    <w:rsid w:val="00B55E37"/>
    <w:rsid w:val="00B578ED"/>
    <w:rsid w:val="00B60F63"/>
    <w:rsid w:val="00B71405"/>
    <w:rsid w:val="00B741CE"/>
    <w:rsid w:val="00B760D5"/>
    <w:rsid w:val="00B85E21"/>
    <w:rsid w:val="00B87BD9"/>
    <w:rsid w:val="00B90185"/>
    <w:rsid w:val="00BA0E28"/>
    <w:rsid w:val="00BA4E5B"/>
    <w:rsid w:val="00BA6DAB"/>
    <w:rsid w:val="00BB1A93"/>
    <w:rsid w:val="00BB2AC9"/>
    <w:rsid w:val="00BB2ACC"/>
    <w:rsid w:val="00BB5B1E"/>
    <w:rsid w:val="00BC7227"/>
    <w:rsid w:val="00BD519C"/>
    <w:rsid w:val="00BD71C9"/>
    <w:rsid w:val="00BD79A8"/>
    <w:rsid w:val="00BE0861"/>
    <w:rsid w:val="00BE16AA"/>
    <w:rsid w:val="00BF1231"/>
    <w:rsid w:val="00BF226F"/>
    <w:rsid w:val="00C0076D"/>
    <w:rsid w:val="00C0277E"/>
    <w:rsid w:val="00C06CA2"/>
    <w:rsid w:val="00C107EE"/>
    <w:rsid w:val="00C118A6"/>
    <w:rsid w:val="00C144F9"/>
    <w:rsid w:val="00C14FE0"/>
    <w:rsid w:val="00C21159"/>
    <w:rsid w:val="00C2560E"/>
    <w:rsid w:val="00C266FE"/>
    <w:rsid w:val="00C26DD1"/>
    <w:rsid w:val="00C4021D"/>
    <w:rsid w:val="00C41B93"/>
    <w:rsid w:val="00C41F3D"/>
    <w:rsid w:val="00C431D5"/>
    <w:rsid w:val="00C44F39"/>
    <w:rsid w:val="00C53A4C"/>
    <w:rsid w:val="00C556CE"/>
    <w:rsid w:val="00C55825"/>
    <w:rsid w:val="00C5636A"/>
    <w:rsid w:val="00C57088"/>
    <w:rsid w:val="00C5714E"/>
    <w:rsid w:val="00C573CA"/>
    <w:rsid w:val="00C60CB7"/>
    <w:rsid w:val="00C6190C"/>
    <w:rsid w:val="00C63987"/>
    <w:rsid w:val="00C8063F"/>
    <w:rsid w:val="00C829F4"/>
    <w:rsid w:val="00C93866"/>
    <w:rsid w:val="00C9533C"/>
    <w:rsid w:val="00C96846"/>
    <w:rsid w:val="00C979BD"/>
    <w:rsid w:val="00CA56D7"/>
    <w:rsid w:val="00CA7C02"/>
    <w:rsid w:val="00CB1FC6"/>
    <w:rsid w:val="00CB5F1D"/>
    <w:rsid w:val="00CC1914"/>
    <w:rsid w:val="00CC602D"/>
    <w:rsid w:val="00CE05FC"/>
    <w:rsid w:val="00CE1788"/>
    <w:rsid w:val="00CF33B9"/>
    <w:rsid w:val="00CF5531"/>
    <w:rsid w:val="00D0448A"/>
    <w:rsid w:val="00D05BCA"/>
    <w:rsid w:val="00D261DA"/>
    <w:rsid w:val="00D3078F"/>
    <w:rsid w:val="00D34450"/>
    <w:rsid w:val="00D4164B"/>
    <w:rsid w:val="00D43570"/>
    <w:rsid w:val="00D43E51"/>
    <w:rsid w:val="00D4590A"/>
    <w:rsid w:val="00D54007"/>
    <w:rsid w:val="00D54448"/>
    <w:rsid w:val="00D55EAC"/>
    <w:rsid w:val="00D63F91"/>
    <w:rsid w:val="00D65E17"/>
    <w:rsid w:val="00D673DE"/>
    <w:rsid w:val="00D74A32"/>
    <w:rsid w:val="00D82E24"/>
    <w:rsid w:val="00D833C0"/>
    <w:rsid w:val="00D83AD0"/>
    <w:rsid w:val="00D847C4"/>
    <w:rsid w:val="00D8571E"/>
    <w:rsid w:val="00D86505"/>
    <w:rsid w:val="00D86D5C"/>
    <w:rsid w:val="00D9015A"/>
    <w:rsid w:val="00D91E37"/>
    <w:rsid w:val="00D92F31"/>
    <w:rsid w:val="00DA5564"/>
    <w:rsid w:val="00DB526F"/>
    <w:rsid w:val="00DC4EB1"/>
    <w:rsid w:val="00DC7B92"/>
    <w:rsid w:val="00DD55BB"/>
    <w:rsid w:val="00DD72F8"/>
    <w:rsid w:val="00DE1FD6"/>
    <w:rsid w:val="00DF2A21"/>
    <w:rsid w:val="00E10A5E"/>
    <w:rsid w:val="00E142FE"/>
    <w:rsid w:val="00E16D67"/>
    <w:rsid w:val="00E20A2D"/>
    <w:rsid w:val="00E21AC4"/>
    <w:rsid w:val="00E22F33"/>
    <w:rsid w:val="00E26FFD"/>
    <w:rsid w:val="00E30677"/>
    <w:rsid w:val="00E31CF9"/>
    <w:rsid w:val="00E366D7"/>
    <w:rsid w:val="00E37DA0"/>
    <w:rsid w:val="00E41756"/>
    <w:rsid w:val="00E42882"/>
    <w:rsid w:val="00E47741"/>
    <w:rsid w:val="00E530FE"/>
    <w:rsid w:val="00E548F4"/>
    <w:rsid w:val="00E55B93"/>
    <w:rsid w:val="00E634BD"/>
    <w:rsid w:val="00E703F0"/>
    <w:rsid w:val="00E71F4D"/>
    <w:rsid w:val="00E73448"/>
    <w:rsid w:val="00E74025"/>
    <w:rsid w:val="00E7738B"/>
    <w:rsid w:val="00E84DE8"/>
    <w:rsid w:val="00E948AC"/>
    <w:rsid w:val="00E97EF5"/>
    <w:rsid w:val="00EA04F8"/>
    <w:rsid w:val="00EB723C"/>
    <w:rsid w:val="00EC1B34"/>
    <w:rsid w:val="00EC26B4"/>
    <w:rsid w:val="00EC36E7"/>
    <w:rsid w:val="00ED13F3"/>
    <w:rsid w:val="00ED1485"/>
    <w:rsid w:val="00ED244B"/>
    <w:rsid w:val="00ED38C1"/>
    <w:rsid w:val="00ED3F36"/>
    <w:rsid w:val="00EE1E9D"/>
    <w:rsid w:val="00EE6766"/>
    <w:rsid w:val="00EE6CA4"/>
    <w:rsid w:val="00EF62D8"/>
    <w:rsid w:val="00F0254C"/>
    <w:rsid w:val="00F17918"/>
    <w:rsid w:val="00F21BDA"/>
    <w:rsid w:val="00F24A3B"/>
    <w:rsid w:val="00F27964"/>
    <w:rsid w:val="00F30909"/>
    <w:rsid w:val="00F31204"/>
    <w:rsid w:val="00F33973"/>
    <w:rsid w:val="00F35408"/>
    <w:rsid w:val="00F35B45"/>
    <w:rsid w:val="00F402B1"/>
    <w:rsid w:val="00F43071"/>
    <w:rsid w:val="00F47F0D"/>
    <w:rsid w:val="00F5215A"/>
    <w:rsid w:val="00F54375"/>
    <w:rsid w:val="00F55C58"/>
    <w:rsid w:val="00F706F4"/>
    <w:rsid w:val="00F7176B"/>
    <w:rsid w:val="00F72317"/>
    <w:rsid w:val="00F730DC"/>
    <w:rsid w:val="00F91788"/>
    <w:rsid w:val="00F94BF9"/>
    <w:rsid w:val="00F957C6"/>
    <w:rsid w:val="00F97E77"/>
    <w:rsid w:val="00FA0721"/>
    <w:rsid w:val="00FA22F0"/>
    <w:rsid w:val="00FC29BE"/>
    <w:rsid w:val="00FC4840"/>
    <w:rsid w:val="00FC4E25"/>
    <w:rsid w:val="00FD0163"/>
    <w:rsid w:val="00FE27BD"/>
    <w:rsid w:val="00FE7A5F"/>
    <w:rsid w:val="00FF37AE"/>
    <w:rsid w:val="00FF5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F9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Normal"/>
    <w:link w:val="Heading1Char"/>
    <w:uiPriority w:val="1"/>
    <w:qFormat/>
    <w:rsid w:val="00822A43"/>
    <w:pPr>
      <w:widowControl w:val="0"/>
      <w:autoSpaceDE w:val="0"/>
      <w:autoSpaceDN w:val="0"/>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unhideWhenUsed/>
    <w:rsid w:val="0031758E"/>
    <w:rPr>
      <w:sz w:val="20"/>
      <w:szCs w:val="20"/>
    </w:rPr>
  </w:style>
  <w:style w:type="character" w:customStyle="1" w:styleId="CommentTextChar">
    <w:name w:val="Comment Text Char"/>
    <w:basedOn w:val="DefaultParagraphFont"/>
    <w:link w:val="CommentText"/>
    <w:uiPriority w:val="99"/>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1"/>
    <w:rsid w:val="00822A43"/>
    <w:rPr>
      <w:rFonts w:ascii="Calibri Light" w:eastAsia="Calibri Light" w:hAnsi="Calibri Light" w:cs="Calibri Light"/>
      <w:sz w:val="26"/>
      <w:szCs w:val="26"/>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paragraph" w:customStyle="1" w:styleId="NormCenterBoldUnderline">
    <w:name w:val="Norm Center Bold Underline"/>
    <w:basedOn w:val="Normal"/>
    <w:qFormat/>
    <w:rsid w:val="00A01943"/>
    <w:pPr>
      <w:widowControl w:val="0"/>
      <w:autoSpaceDE w:val="0"/>
      <w:autoSpaceDN w:val="0"/>
      <w:spacing w:after="60"/>
      <w:jc w:val="center"/>
    </w:pPr>
    <w:rPr>
      <w:rFonts w:ascii="Proxima Nova Semibold" w:eastAsia="Cambria" w:hAnsi="Proxima Nova Semibold"/>
      <w:szCs w:val="24"/>
      <w:u w:val="single"/>
    </w:rPr>
  </w:style>
  <w:style w:type="paragraph" w:customStyle="1" w:styleId="m-8088054778943683726m-2267498420393465527msolistparagraph">
    <w:name w:val="m_-8088054778943683726m_-2267498420393465527msolistparagraph"/>
    <w:basedOn w:val="Normal"/>
    <w:rsid w:val="00A0194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01943"/>
    <w:rPr>
      <w:b/>
      <w:bCs/>
    </w:rPr>
  </w:style>
  <w:style w:type="table" w:styleId="TableGrid">
    <w:name w:val="Table Grid"/>
    <w:basedOn w:val="TableNormal"/>
    <w:uiPriority w:val="59"/>
    <w:rsid w:val="00AC5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1E7"/>
    <w:pPr>
      <w:spacing w:after="0" w:line="240" w:lineRule="auto"/>
    </w:pPr>
    <w:rPr>
      <w:rFonts w:ascii="Calibri" w:hAnsi="Calibri" w:cs="Times New Roman"/>
    </w:rPr>
  </w:style>
  <w:style w:type="paragraph" w:styleId="Heading1">
    <w:name w:val="heading 1"/>
    <w:basedOn w:val="Normal"/>
    <w:link w:val="Heading1Char"/>
    <w:uiPriority w:val="1"/>
    <w:qFormat/>
    <w:rsid w:val="00822A43"/>
    <w:pPr>
      <w:widowControl w:val="0"/>
      <w:autoSpaceDE w:val="0"/>
      <w:autoSpaceDN w:val="0"/>
      <w:ind w:left="100"/>
      <w:outlineLvl w:val="0"/>
    </w:pPr>
    <w:rPr>
      <w:rFonts w:ascii="Calibri Light" w:eastAsia="Calibri Light" w:hAnsi="Calibri Light" w:cs="Calibri Light"/>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1E7"/>
    <w:pPr>
      <w:ind w:left="720"/>
    </w:pPr>
  </w:style>
  <w:style w:type="character" w:styleId="Hyperlink">
    <w:name w:val="Hyperlink"/>
    <w:basedOn w:val="DefaultParagraphFont"/>
    <w:uiPriority w:val="99"/>
    <w:unhideWhenUsed/>
    <w:rsid w:val="001D7580"/>
    <w:rPr>
      <w:color w:val="0563C1"/>
      <w:u w:val="single"/>
    </w:rPr>
  </w:style>
  <w:style w:type="character" w:styleId="CommentReference">
    <w:name w:val="annotation reference"/>
    <w:basedOn w:val="DefaultParagraphFont"/>
    <w:uiPriority w:val="99"/>
    <w:semiHidden/>
    <w:unhideWhenUsed/>
    <w:rsid w:val="0031758E"/>
    <w:rPr>
      <w:sz w:val="16"/>
      <w:szCs w:val="16"/>
    </w:rPr>
  </w:style>
  <w:style w:type="paragraph" w:styleId="CommentText">
    <w:name w:val="annotation text"/>
    <w:basedOn w:val="Normal"/>
    <w:link w:val="CommentTextChar"/>
    <w:uiPriority w:val="99"/>
    <w:unhideWhenUsed/>
    <w:rsid w:val="0031758E"/>
    <w:rPr>
      <w:sz w:val="20"/>
      <w:szCs w:val="20"/>
    </w:rPr>
  </w:style>
  <w:style w:type="character" w:customStyle="1" w:styleId="CommentTextChar">
    <w:name w:val="Comment Text Char"/>
    <w:basedOn w:val="DefaultParagraphFont"/>
    <w:link w:val="CommentText"/>
    <w:uiPriority w:val="99"/>
    <w:rsid w:val="0031758E"/>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758E"/>
    <w:rPr>
      <w:b/>
      <w:bCs/>
    </w:rPr>
  </w:style>
  <w:style w:type="character" w:customStyle="1" w:styleId="CommentSubjectChar">
    <w:name w:val="Comment Subject Char"/>
    <w:basedOn w:val="CommentTextChar"/>
    <w:link w:val="CommentSubject"/>
    <w:uiPriority w:val="99"/>
    <w:semiHidden/>
    <w:rsid w:val="0031758E"/>
    <w:rPr>
      <w:rFonts w:ascii="Calibri" w:hAnsi="Calibri" w:cs="Times New Roman"/>
      <w:b/>
      <w:bCs/>
      <w:sz w:val="20"/>
      <w:szCs w:val="20"/>
    </w:rPr>
  </w:style>
  <w:style w:type="paragraph" w:styleId="BalloonText">
    <w:name w:val="Balloon Text"/>
    <w:basedOn w:val="Normal"/>
    <w:link w:val="BalloonTextChar"/>
    <w:uiPriority w:val="99"/>
    <w:semiHidden/>
    <w:unhideWhenUsed/>
    <w:rsid w:val="0031758E"/>
    <w:rPr>
      <w:rFonts w:ascii="Tahoma" w:hAnsi="Tahoma" w:cs="Tahoma"/>
      <w:sz w:val="16"/>
      <w:szCs w:val="16"/>
    </w:rPr>
  </w:style>
  <w:style w:type="character" w:customStyle="1" w:styleId="BalloonTextChar">
    <w:name w:val="Balloon Text Char"/>
    <w:basedOn w:val="DefaultParagraphFont"/>
    <w:link w:val="BalloonText"/>
    <w:uiPriority w:val="99"/>
    <w:semiHidden/>
    <w:rsid w:val="0031758E"/>
    <w:rPr>
      <w:rFonts w:ascii="Tahoma" w:hAnsi="Tahoma" w:cs="Tahoma"/>
      <w:sz w:val="16"/>
      <w:szCs w:val="16"/>
    </w:rPr>
  </w:style>
  <w:style w:type="character" w:customStyle="1" w:styleId="Heading1Char">
    <w:name w:val="Heading 1 Char"/>
    <w:basedOn w:val="DefaultParagraphFont"/>
    <w:link w:val="Heading1"/>
    <w:uiPriority w:val="1"/>
    <w:rsid w:val="00822A43"/>
    <w:rPr>
      <w:rFonts w:ascii="Calibri Light" w:eastAsia="Calibri Light" w:hAnsi="Calibri Light" w:cs="Calibri Light"/>
      <w:sz w:val="26"/>
      <w:szCs w:val="26"/>
    </w:rPr>
  </w:style>
  <w:style w:type="paragraph" w:styleId="BodyText">
    <w:name w:val="Body Text"/>
    <w:basedOn w:val="Normal"/>
    <w:link w:val="BodyTextChar"/>
    <w:uiPriority w:val="1"/>
    <w:qFormat/>
    <w:rsid w:val="00822A43"/>
    <w:pPr>
      <w:widowControl w:val="0"/>
      <w:autoSpaceDE w:val="0"/>
      <w:autoSpaceDN w:val="0"/>
      <w:ind w:left="100"/>
    </w:pPr>
    <w:rPr>
      <w:rFonts w:eastAsia="Calibri" w:cs="Calibri"/>
    </w:rPr>
  </w:style>
  <w:style w:type="character" w:customStyle="1" w:styleId="BodyTextChar">
    <w:name w:val="Body Text Char"/>
    <w:basedOn w:val="DefaultParagraphFont"/>
    <w:link w:val="BodyText"/>
    <w:uiPriority w:val="1"/>
    <w:rsid w:val="00822A43"/>
    <w:rPr>
      <w:rFonts w:ascii="Calibri" w:eastAsia="Calibri" w:hAnsi="Calibri" w:cs="Calibri"/>
    </w:rPr>
  </w:style>
  <w:style w:type="paragraph" w:styleId="FootnoteText">
    <w:name w:val="footnote text"/>
    <w:basedOn w:val="Normal"/>
    <w:link w:val="FootnoteTextChar"/>
    <w:uiPriority w:val="99"/>
    <w:unhideWhenUsed/>
    <w:qFormat/>
    <w:rsid w:val="00822A43"/>
    <w:pPr>
      <w:widowControl w:val="0"/>
      <w:autoSpaceDE w:val="0"/>
      <w:autoSpaceDN w:val="0"/>
    </w:pPr>
    <w:rPr>
      <w:rFonts w:eastAsia="Calibri" w:cs="Calibri"/>
      <w:sz w:val="20"/>
      <w:szCs w:val="20"/>
    </w:rPr>
  </w:style>
  <w:style w:type="character" w:customStyle="1" w:styleId="FootnoteTextChar">
    <w:name w:val="Footnote Text Char"/>
    <w:basedOn w:val="DefaultParagraphFont"/>
    <w:link w:val="FootnoteText"/>
    <w:uiPriority w:val="99"/>
    <w:rsid w:val="00822A43"/>
    <w:rPr>
      <w:rFonts w:ascii="Calibri" w:eastAsia="Calibri" w:hAnsi="Calibri" w:cs="Calibri"/>
      <w:sz w:val="20"/>
      <w:szCs w:val="20"/>
    </w:rPr>
  </w:style>
  <w:style w:type="character" w:styleId="FootnoteReference">
    <w:name w:val="footnote reference"/>
    <w:basedOn w:val="DefaultParagraphFont"/>
    <w:uiPriority w:val="99"/>
    <w:unhideWhenUsed/>
    <w:rsid w:val="00822A43"/>
    <w:rPr>
      <w:vertAlign w:val="superscript"/>
    </w:rPr>
  </w:style>
  <w:style w:type="paragraph" w:styleId="Header">
    <w:name w:val="header"/>
    <w:basedOn w:val="Normal"/>
    <w:link w:val="HeaderChar"/>
    <w:uiPriority w:val="99"/>
    <w:unhideWhenUsed/>
    <w:rsid w:val="00954274"/>
    <w:pPr>
      <w:tabs>
        <w:tab w:val="center" w:pos="4680"/>
        <w:tab w:val="right" w:pos="9360"/>
      </w:tabs>
    </w:pPr>
  </w:style>
  <w:style w:type="character" w:customStyle="1" w:styleId="HeaderChar">
    <w:name w:val="Header Char"/>
    <w:basedOn w:val="DefaultParagraphFont"/>
    <w:link w:val="Header"/>
    <w:uiPriority w:val="99"/>
    <w:rsid w:val="00954274"/>
    <w:rPr>
      <w:rFonts w:ascii="Calibri" w:hAnsi="Calibri" w:cs="Times New Roman"/>
    </w:rPr>
  </w:style>
  <w:style w:type="paragraph" w:styleId="Footer">
    <w:name w:val="footer"/>
    <w:basedOn w:val="Normal"/>
    <w:link w:val="FooterChar"/>
    <w:uiPriority w:val="99"/>
    <w:unhideWhenUsed/>
    <w:rsid w:val="00954274"/>
    <w:pPr>
      <w:tabs>
        <w:tab w:val="center" w:pos="4680"/>
        <w:tab w:val="right" w:pos="9360"/>
      </w:tabs>
    </w:pPr>
  </w:style>
  <w:style w:type="character" w:customStyle="1" w:styleId="FooterChar">
    <w:name w:val="Footer Char"/>
    <w:basedOn w:val="DefaultParagraphFont"/>
    <w:link w:val="Footer"/>
    <w:uiPriority w:val="99"/>
    <w:rsid w:val="00954274"/>
    <w:rPr>
      <w:rFonts w:ascii="Calibri" w:hAnsi="Calibri" w:cs="Times New Roman"/>
    </w:rPr>
  </w:style>
  <w:style w:type="paragraph" w:styleId="PlainText">
    <w:name w:val="Plain Text"/>
    <w:basedOn w:val="Normal"/>
    <w:link w:val="PlainTextChar"/>
    <w:uiPriority w:val="99"/>
    <w:semiHidden/>
    <w:unhideWhenUsed/>
    <w:rsid w:val="00090171"/>
    <w:rPr>
      <w:rFonts w:cstheme="minorBidi"/>
      <w:szCs w:val="21"/>
    </w:rPr>
  </w:style>
  <w:style w:type="character" w:customStyle="1" w:styleId="PlainTextChar">
    <w:name w:val="Plain Text Char"/>
    <w:basedOn w:val="DefaultParagraphFont"/>
    <w:link w:val="PlainText"/>
    <w:uiPriority w:val="99"/>
    <w:semiHidden/>
    <w:rsid w:val="00090171"/>
    <w:rPr>
      <w:rFonts w:ascii="Calibri" w:hAnsi="Calibri"/>
      <w:szCs w:val="21"/>
    </w:rPr>
  </w:style>
  <w:style w:type="paragraph" w:styleId="Revision">
    <w:name w:val="Revision"/>
    <w:hidden/>
    <w:uiPriority w:val="99"/>
    <w:semiHidden/>
    <w:rsid w:val="00837C66"/>
    <w:pPr>
      <w:spacing w:after="0" w:line="240" w:lineRule="auto"/>
    </w:pPr>
    <w:rPr>
      <w:rFonts w:ascii="Calibri" w:hAnsi="Calibri" w:cs="Times New Roman"/>
    </w:rPr>
  </w:style>
  <w:style w:type="paragraph" w:customStyle="1" w:styleId="xxxmsonormal">
    <w:name w:val="x_xxmsonormal"/>
    <w:basedOn w:val="Normal"/>
    <w:rsid w:val="00707F73"/>
    <w:rPr>
      <w:rFonts w:ascii="Times New Roman" w:hAnsi="Times New Roman"/>
      <w:sz w:val="24"/>
      <w:szCs w:val="24"/>
    </w:rPr>
  </w:style>
  <w:style w:type="character" w:styleId="FollowedHyperlink">
    <w:name w:val="FollowedHyperlink"/>
    <w:basedOn w:val="DefaultParagraphFont"/>
    <w:uiPriority w:val="99"/>
    <w:semiHidden/>
    <w:unhideWhenUsed/>
    <w:rsid w:val="00BA4E5B"/>
    <w:rPr>
      <w:color w:val="800080" w:themeColor="followedHyperlink"/>
      <w:u w:val="single"/>
    </w:rPr>
  </w:style>
  <w:style w:type="paragraph" w:customStyle="1" w:styleId="Default">
    <w:name w:val="Default"/>
    <w:rsid w:val="00BA4E5B"/>
    <w:pPr>
      <w:autoSpaceDE w:val="0"/>
      <w:autoSpaceDN w:val="0"/>
      <w:adjustRightInd w:val="0"/>
      <w:spacing w:after="0" w:line="240" w:lineRule="auto"/>
    </w:pPr>
    <w:rPr>
      <w:rFonts w:ascii="Arial" w:hAnsi="Arial" w:cs="Arial"/>
      <w:color w:val="000000"/>
      <w:sz w:val="24"/>
      <w:szCs w:val="24"/>
    </w:rPr>
  </w:style>
  <w:style w:type="paragraph" w:styleId="DocumentMap">
    <w:name w:val="Document Map"/>
    <w:basedOn w:val="Normal"/>
    <w:link w:val="DocumentMapChar"/>
    <w:uiPriority w:val="99"/>
    <w:semiHidden/>
    <w:unhideWhenUsed/>
    <w:rsid w:val="009D4761"/>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9D4761"/>
    <w:rPr>
      <w:rFonts w:ascii="Times New Roman" w:hAnsi="Times New Roman" w:cs="Times New Roman"/>
      <w:sz w:val="24"/>
      <w:szCs w:val="24"/>
    </w:rPr>
  </w:style>
  <w:style w:type="paragraph" w:customStyle="1" w:styleId="NormCenterBoldUnderline">
    <w:name w:val="Norm Center Bold Underline"/>
    <w:basedOn w:val="Normal"/>
    <w:qFormat/>
    <w:rsid w:val="00A01943"/>
    <w:pPr>
      <w:widowControl w:val="0"/>
      <w:autoSpaceDE w:val="0"/>
      <w:autoSpaceDN w:val="0"/>
      <w:spacing w:after="60"/>
      <w:jc w:val="center"/>
    </w:pPr>
    <w:rPr>
      <w:rFonts w:ascii="Proxima Nova Semibold" w:eastAsia="Cambria" w:hAnsi="Proxima Nova Semibold"/>
      <w:szCs w:val="24"/>
      <w:u w:val="single"/>
    </w:rPr>
  </w:style>
  <w:style w:type="paragraph" w:customStyle="1" w:styleId="m-8088054778943683726m-2267498420393465527msolistparagraph">
    <w:name w:val="m_-8088054778943683726m_-2267498420393465527msolistparagraph"/>
    <w:basedOn w:val="Normal"/>
    <w:rsid w:val="00A0194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A01943"/>
    <w:rPr>
      <w:b/>
      <w:bCs/>
    </w:rPr>
  </w:style>
  <w:style w:type="table" w:styleId="TableGrid">
    <w:name w:val="Table Grid"/>
    <w:basedOn w:val="TableNormal"/>
    <w:uiPriority w:val="59"/>
    <w:rsid w:val="00AC58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96862">
      <w:bodyDiv w:val="1"/>
      <w:marLeft w:val="0"/>
      <w:marRight w:val="0"/>
      <w:marTop w:val="0"/>
      <w:marBottom w:val="0"/>
      <w:divBdr>
        <w:top w:val="none" w:sz="0" w:space="0" w:color="auto"/>
        <w:left w:val="none" w:sz="0" w:space="0" w:color="auto"/>
        <w:bottom w:val="none" w:sz="0" w:space="0" w:color="auto"/>
        <w:right w:val="none" w:sz="0" w:space="0" w:color="auto"/>
      </w:divBdr>
    </w:div>
    <w:div w:id="136455659">
      <w:bodyDiv w:val="1"/>
      <w:marLeft w:val="0"/>
      <w:marRight w:val="0"/>
      <w:marTop w:val="0"/>
      <w:marBottom w:val="0"/>
      <w:divBdr>
        <w:top w:val="none" w:sz="0" w:space="0" w:color="auto"/>
        <w:left w:val="none" w:sz="0" w:space="0" w:color="auto"/>
        <w:bottom w:val="none" w:sz="0" w:space="0" w:color="auto"/>
        <w:right w:val="none" w:sz="0" w:space="0" w:color="auto"/>
      </w:divBdr>
    </w:div>
    <w:div w:id="153184224">
      <w:bodyDiv w:val="1"/>
      <w:marLeft w:val="0"/>
      <w:marRight w:val="0"/>
      <w:marTop w:val="0"/>
      <w:marBottom w:val="0"/>
      <w:divBdr>
        <w:top w:val="none" w:sz="0" w:space="0" w:color="auto"/>
        <w:left w:val="none" w:sz="0" w:space="0" w:color="auto"/>
        <w:bottom w:val="none" w:sz="0" w:space="0" w:color="auto"/>
        <w:right w:val="none" w:sz="0" w:space="0" w:color="auto"/>
      </w:divBdr>
    </w:div>
    <w:div w:id="223836510">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1148977676">
      <w:bodyDiv w:val="1"/>
      <w:marLeft w:val="0"/>
      <w:marRight w:val="0"/>
      <w:marTop w:val="0"/>
      <w:marBottom w:val="0"/>
      <w:divBdr>
        <w:top w:val="none" w:sz="0" w:space="0" w:color="auto"/>
        <w:left w:val="none" w:sz="0" w:space="0" w:color="auto"/>
        <w:bottom w:val="none" w:sz="0" w:space="0" w:color="auto"/>
        <w:right w:val="none" w:sz="0" w:space="0" w:color="auto"/>
      </w:divBdr>
    </w:div>
    <w:div w:id="1445347631">
      <w:bodyDiv w:val="1"/>
      <w:marLeft w:val="0"/>
      <w:marRight w:val="0"/>
      <w:marTop w:val="0"/>
      <w:marBottom w:val="0"/>
      <w:divBdr>
        <w:top w:val="none" w:sz="0" w:space="0" w:color="auto"/>
        <w:left w:val="none" w:sz="0" w:space="0" w:color="auto"/>
        <w:bottom w:val="none" w:sz="0" w:space="0" w:color="auto"/>
        <w:right w:val="none" w:sz="0" w:space="0" w:color="auto"/>
      </w:divBdr>
    </w:div>
    <w:div w:id="1477525024">
      <w:bodyDiv w:val="1"/>
      <w:marLeft w:val="0"/>
      <w:marRight w:val="0"/>
      <w:marTop w:val="0"/>
      <w:marBottom w:val="0"/>
      <w:divBdr>
        <w:top w:val="none" w:sz="0" w:space="0" w:color="auto"/>
        <w:left w:val="none" w:sz="0" w:space="0" w:color="auto"/>
        <w:bottom w:val="none" w:sz="0" w:space="0" w:color="auto"/>
        <w:right w:val="none" w:sz="0" w:space="0" w:color="auto"/>
      </w:divBdr>
    </w:div>
    <w:div w:id="1608469517">
      <w:bodyDiv w:val="1"/>
      <w:marLeft w:val="0"/>
      <w:marRight w:val="0"/>
      <w:marTop w:val="0"/>
      <w:marBottom w:val="0"/>
      <w:divBdr>
        <w:top w:val="none" w:sz="0" w:space="0" w:color="auto"/>
        <w:left w:val="none" w:sz="0" w:space="0" w:color="auto"/>
        <w:bottom w:val="none" w:sz="0" w:space="0" w:color="auto"/>
        <w:right w:val="none" w:sz="0" w:space="0" w:color="auto"/>
      </w:divBdr>
    </w:div>
    <w:div w:id="2026393924">
      <w:bodyDiv w:val="1"/>
      <w:marLeft w:val="0"/>
      <w:marRight w:val="0"/>
      <w:marTop w:val="0"/>
      <w:marBottom w:val="0"/>
      <w:divBdr>
        <w:top w:val="none" w:sz="0" w:space="0" w:color="auto"/>
        <w:left w:val="none" w:sz="0" w:space="0" w:color="auto"/>
        <w:bottom w:val="none" w:sz="0" w:space="0" w:color="auto"/>
        <w:right w:val="none" w:sz="0" w:space="0" w:color="auto"/>
      </w:divBdr>
    </w:div>
    <w:div w:id="2035108443">
      <w:bodyDiv w:val="1"/>
      <w:marLeft w:val="0"/>
      <w:marRight w:val="0"/>
      <w:marTop w:val="0"/>
      <w:marBottom w:val="0"/>
      <w:divBdr>
        <w:top w:val="none" w:sz="0" w:space="0" w:color="auto"/>
        <w:left w:val="none" w:sz="0" w:space="0" w:color="auto"/>
        <w:bottom w:val="none" w:sz="0" w:space="0" w:color="auto"/>
        <w:right w:val="none" w:sz="0" w:space="0" w:color="auto"/>
      </w:divBdr>
    </w:div>
    <w:div w:id="2073581514">
      <w:bodyDiv w:val="1"/>
      <w:marLeft w:val="0"/>
      <w:marRight w:val="0"/>
      <w:marTop w:val="0"/>
      <w:marBottom w:val="0"/>
      <w:divBdr>
        <w:top w:val="none" w:sz="0" w:space="0" w:color="auto"/>
        <w:left w:val="none" w:sz="0" w:space="0" w:color="auto"/>
        <w:bottom w:val="none" w:sz="0" w:space="0" w:color="auto"/>
        <w:right w:val="none" w:sz="0" w:space="0" w:color="auto"/>
      </w:divBdr>
    </w:div>
    <w:div w:id="21142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mailto:Kathryn.Enright@sce.com" TargetMode="External"/><Relationship Id="rId21" Type="http://schemas.openxmlformats.org/officeDocument/2006/relationships/hyperlink" Target="mailto:JMcCawley@semprautilities.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comments" Target="comments.xml"/><Relationship Id="rId13" Type="http://schemas.openxmlformats.org/officeDocument/2006/relationships/hyperlink" Target="mailto:Heather.Sanders@cpuc.ca.gov" TargetMode="External"/><Relationship Id="rId14" Type="http://schemas.openxmlformats.org/officeDocument/2006/relationships/hyperlink" Target="mailto:M3Pu@pge.com" TargetMode="External"/><Relationship Id="rId15" Type="http://schemas.openxmlformats.org/officeDocument/2006/relationships/hyperlink" Target="mailto:Heather.Sanders@cpuc.ca.gov" TargetMode="External"/><Relationship Id="rId16" Type="http://schemas.openxmlformats.org/officeDocument/2006/relationships/hyperlink" Target="mailto:MaryClaire.Evans@cpuc.ca.gov" TargetMode="External"/><Relationship Id="rId17" Type="http://schemas.openxmlformats.org/officeDocument/2006/relationships/hyperlink" Target="mailto:KDCI@pge.com" TargetMode="External"/><Relationship Id="rId18" Type="http://schemas.openxmlformats.org/officeDocument/2006/relationships/hyperlink" Target="mailto:diana.s.genasci@sce.com" TargetMode="External"/><Relationship Id="rId19" Type="http://schemas.openxmlformats.org/officeDocument/2006/relationships/hyperlink" Target="mailto:diana.s.genasci@sce.com"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pge.com/tariffs/tm2/pdf/ELEC_RULES_21.pdf" TargetMode="External"/><Relationship Id="rId2" Type="http://schemas.openxmlformats.org/officeDocument/2006/relationships/hyperlink" Target="https://www.pge.com/tariffs/tm2/pdf/ELEC_RULES_21.pdf" TargetMode="External"/><Relationship Id="rId3" Type="http://schemas.openxmlformats.org/officeDocument/2006/relationships/hyperlink" Target="https://www.pge.com/pge_global/common/pdfs/for-our-business-partners/interconnection-renewables/GuidetoEnergyStorageChargingIssu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9F2C60698B0E4AA1DC14DE5B78D9BF" ma:contentTypeVersion="2" ma:contentTypeDescription="Create a new document." ma:contentTypeScope="" ma:versionID="ab9fb71f5bb43d5d3f9fd74da6f57111">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31FA-1EED-4FB3-BAA8-DDFE90F9C726}">
  <ds:schemaRefs>
    <ds:schemaRef ds:uri="http://schemas.microsoft.com/sharepoint/v3/contenttype/forms"/>
  </ds:schemaRefs>
</ds:datastoreItem>
</file>

<file path=customXml/itemProps2.xml><?xml version="1.0" encoding="utf-8"?>
<ds:datastoreItem xmlns:ds="http://schemas.openxmlformats.org/officeDocument/2006/customXml" ds:itemID="{40F6A7A4-6A12-44B2-A8E3-892B038C55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0C3F9E3-65A7-4D20-8B45-FF47F35AF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CA07BFF-44E0-894E-B04D-918C49384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14</Pages>
  <Words>6437</Words>
  <Characters>36695</Characters>
  <Application>Microsoft Macintosh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Pacific Gas and Electric</Company>
  <LinksUpToDate>false</LinksUpToDate>
  <CharactersWithSpaces>43046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Chung, William</dc:creator>
  <cp:lastModifiedBy>Brad Heavner</cp:lastModifiedBy>
  <cp:revision>5</cp:revision>
  <cp:lastPrinted>2017-12-08T22:14:00Z</cp:lastPrinted>
  <dcterms:created xsi:type="dcterms:W3CDTF">2018-02-01T03:11:00Z</dcterms:created>
  <dcterms:modified xsi:type="dcterms:W3CDTF">2018-02-01T16:37:00Z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0x0101004B9F2C60698B0E4AA1DC14DE5B78D9BF</vt:lpwstr>
  </property>
</Properties>
</file>