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F851" w14:textId="77777777" w:rsidR="0091352D" w:rsidRDefault="0091352D" w:rsidP="00141529">
      <w:pPr>
        <w:rPr>
          <w:rFonts w:cs="Calibri"/>
          <w:b/>
          <w:i/>
          <w:sz w:val="24"/>
          <w:szCs w:val="24"/>
        </w:rPr>
      </w:pPr>
      <w:bookmarkStart w:id="0" w:name="_GoBack"/>
      <w:bookmarkEnd w:id="0"/>
      <w:r w:rsidRPr="00141529">
        <w:rPr>
          <w:rFonts w:cs="Calibri"/>
          <w:b/>
          <w:sz w:val="24"/>
          <w:szCs w:val="24"/>
        </w:rPr>
        <w:t>Question</w:t>
      </w:r>
      <w:r w:rsidR="00825CBB" w:rsidRPr="00141529">
        <w:rPr>
          <w:rFonts w:cs="Calibri"/>
          <w:b/>
          <w:sz w:val="24"/>
          <w:szCs w:val="24"/>
        </w:rPr>
        <w:t xml:space="preserve">s regarding Issue 1: </w:t>
      </w:r>
      <w:r w:rsidRPr="00141529">
        <w:rPr>
          <w:rFonts w:cs="Calibri"/>
          <w:b/>
          <w:i/>
          <w:sz w:val="24"/>
          <w:szCs w:val="24"/>
        </w:rPr>
        <w:t>Should the Commission modify Fast Track Screen Q to minimize the number of distributed energy resource projects subjected to transmission cluster studies, and, if so, how?</w:t>
      </w:r>
    </w:p>
    <w:p w14:paraId="4B3E163D" w14:textId="77777777" w:rsidR="00141529" w:rsidRPr="00141529" w:rsidRDefault="00141529" w:rsidP="00141529">
      <w:pPr>
        <w:rPr>
          <w:rFonts w:cs="Calibri"/>
          <w:b/>
          <w:i/>
          <w:sz w:val="24"/>
          <w:szCs w:val="24"/>
        </w:rPr>
      </w:pPr>
    </w:p>
    <w:p w14:paraId="27E801B2" w14:textId="77777777" w:rsidR="00482A06" w:rsidRDefault="00482A06" w:rsidP="00141529">
      <w:pPr>
        <w:numPr>
          <w:ilvl w:val="0"/>
          <w:numId w:val="1"/>
        </w:numPr>
        <w:rPr>
          <w:rFonts w:cs="Calibri"/>
          <w:sz w:val="24"/>
          <w:szCs w:val="24"/>
        </w:rPr>
      </w:pPr>
      <w:r w:rsidRPr="00141529">
        <w:rPr>
          <w:rFonts w:cs="Calibri"/>
          <w:sz w:val="24"/>
          <w:szCs w:val="24"/>
        </w:rPr>
        <w:t xml:space="preserve">What is the purpose of Screen Q? </w:t>
      </w:r>
    </w:p>
    <w:p w14:paraId="0A95D3D9" w14:textId="77777777" w:rsidR="004C4F2D" w:rsidRDefault="004C4F2D" w:rsidP="004C4F2D">
      <w:pPr>
        <w:rPr>
          <w:rFonts w:cs="Calibri"/>
          <w:sz w:val="24"/>
          <w:szCs w:val="24"/>
        </w:rPr>
      </w:pPr>
    </w:p>
    <w:p w14:paraId="30ECD891" w14:textId="3BCA74D3" w:rsidR="00E2197B" w:rsidRDefault="00CB3D0B" w:rsidP="00CB3D0B">
      <w:pPr>
        <w:ind w:left="360"/>
        <w:rPr>
          <w:rFonts w:cs="Calibri"/>
          <w:sz w:val="24"/>
          <w:szCs w:val="24"/>
        </w:rPr>
      </w:pPr>
      <w:r w:rsidRPr="00770441">
        <w:rPr>
          <w:rFonts w:cs="Calibri"/>
          <w:b/>
          <w:sz w:val="24"/>
          <w:szCs w:val="24"/>
        </w:rPr>
        <w:t>IOUs</w:t>
      </w:r>
      <w:r w:rsidR="004C4F2D">
        <w:rPr>
          <w:rFonts w:cs="Calibri"/>
          <w:sz w:val="24"/>
          <w:szCs w:val="24"/>
        </w:rPr>
        <w:t xml:space="preserve">: A screen to determine </w:t>
      </w:r>
      <w:r w:rsidR="00E2197B">
        <w:rPr>
          <w:rFonts w:cs="Calibri"/>
          <w:sz w:val="24"/>
          <w:szCs w:val="24"/>
        </w:rPr>
        <w:t>what additional studies are required to interconnect the project.</w:t>
      </w:r>
    </w:p>
    <w:p w14:paraId="26C6014C" w14:textId="77777777" w:rsidR="00825CBB" w:rsidRPr="00141529" w:rsidRDefault="00825CBB" w:rsidP="00825CBB">
      <w:pPr>
        <w:rPr>
          <w:rFonts w:cs="Calibri"/>
          <w:b/>
          <w:color w:val="538135" w:themeColor="accent6" w:themeShade="BF"/>
          <w:sz w:val="24"/>
          <w:szCs w:val="24"/>
        </w:rPr>
      </w:pPr>
    </w:p>
    <w:p w14:paraId="152C7D87" w14:textId="77777777" w:rsidR="007A2A5A" w:rsidRPr="00CB3D0B" w:rsidRDefault="00825CBB" w:rsidP="00CB3D0B">
      <w:pPr>
        <w:ind w:left="360"/>
        <w:rPr>
          <w:rFonts w:cs="Calibri"/>
          <w:b/>
          <w:sz w:val="24"/>
          <w:szCs w:val="24"/>
        </w:rPr>
      </w:pPr>
      <w:proofErr w:type="spellStart"/>
      <w:r w:rsidRPr="00770441">
        <w:rPr>
          <w:rFonts w:cs="Calibri"/>
          <w:b/>
          <w:sz w:val="24"/>
          <w:szCs w:val="24"/>
        </w:rPr>
        <w:t>CalSEIA</w:t>
      </w:r>
      <w:proofErr w:type="spellEnd"/>
      <w:r w:rsidR="007A2A5A" w:rsidRPr="00CB3D0B">
        <w:rPr>
          <w:rFonts w:cs="Calibri"/>
          <w:sz w:val="24"/>
          <w:szCs w:val="24"/>
        </w:rPr>
        <w:t>: Screen Q is part of the Electrical Independence Test</w:t>
      </w:r>
      <w:r w:rsidR="007A2A5A" w:rsidRPr="00CB3D0B">
        <w:rPr>
          <w:rStyle w:val="FootnoteReference"/>
          <w:rFonts w:cs="Calibri"/>
          <w:sz w:val="24"/>
          <w:szCs w:val="24"/>
        </w:rPr>
        <w:footnoteReference w:id="1"/>
      </w:r>
      <w:r w:rsidR="007A2A5A" w:rsidRPr="00CB3D0B">
        <w:rPr>
          <w:rFonts w:cs="Calibri"/>
          <w:sz w:val="24"/>
          <w:szCs w:val="24"/>
        </w:rPr>
        <w:t xml:space="preserve"> that quantifies impact of proportional current flow from a DER onto the transmission network. If a proposed project is downstream from a device on the transmission system that was recently studied by a previous cluster study, it is evaluated for potential backflow. </w:t>
      </w:r>
    </w:p>
    <w:p w14:paraId="66D8715E" w14:textId="77777777" w:rsidR="002F5E40" w:rsidRPr="00141529" w:rsidRDefault="002F5E40" w:rsidP="002F5E40">
      <w:pPr>
        <w:ind w:left="720"/>
        <w:rPr>
          <w:rFonts w:cs="Calibri"/>
          <w:color w:val="5B9BD5" w:themeColor="accent1"/>
          <w:sz w:val="24"/>
          <w:szCs w:val="24"/>
        </w:rPr>
      </w:pPr>
    </w:p>
    <w:p w14:paraId="18820E60" w14:textId="77777777" w:rsidR="00482A06" w:rsidRPr="00141529" w:rsidRDefault="00482A06" w:rsidP="00482A06">
      <w:pPr>
        <w:numPr>
          <w:ilvl w:val="0"/>
          <w:numId w:val="1"/>
        </w:numPr>
        <w:rPr>
          <w:rFonts w:cs="Calibri"/>
          <w:sz w:val="24"/>
          <w:szCs w:val="24"/>
        </w:rPr>
      </w:pPr>
      <w:r w:rsidRPr="00141529">
        <w:rPr>
          <w:rFonts w:cs="Calibri"/>
          <w:sz w:val="24"/>
          <w:szCs w:val="24"/>
        </w:rPr>
        <w:t xml:space="preserve">How does a project fail Screen Q? </w:t>
      </w:r>
    </w:p>
    <w:p w14:paraId="3C0C8395" w14:textId="35E2371A" w:rsidR="007A2A5A" w:rsidRPr="003A6D50" w:rsidRDefault="002F5E40" w:rsidP="00770441">
      <w:pPr>
        <w:ind w:left="360"/>
        <w:rPr>
          <w:rFonts w:cs="Calibri"/>
          <w:color w:val="538135" w:themeColor="accent6" w:themeShade="BF"/>
          <w:sz w:val="24"/>
          <w:szCs w:val="24"/>
        </w:rPr>
      </w:pPr>
      <w:r w:rsidRPr="003A6D50">
        <w:rPr>
          <w:rFonts w:cs="Calibri"/>
          <w:color w:val="538135" w:themeColor="accent6" w:themeShade="BF"/>
          <w:sz w:val="24"/>
          <w:szCs w:val="24"/>
        </w:rPr>
        <w:t xml:space="preserve"> </w:t>
      </w:r>
    </w:p>
    <w:p w14:paraId="306598A3" w14:textId="1332460A" w:rsidR="00825CBB" w:rsidRPr="00770441" w:rsidRDefault="00770441" w:rsidP="00770441">
      <w:pPr>
        <w:ind w:left="360"/>
        <w:rPr>
          <w:rFonts w:cs="Calibri"/>
          <w:b/>
          <w:sz w:val="24"/>
          <w:szCs w:val="24"/>
        </w:rPr>
      </w:pPr>
      <w:r w:rsidRPr="00770441">
        <w:rPr>
          <w:rFonts w:cs="Calibri"/>
          <w:b/>
          <w:sz w:val="24"/>
          <w:szCs w:val="24"/>
        </w:rPr>
        <w:t>IOUs</w:t>
      </w:r>
      <w:r w:rsidRPr="00770441">
        <w:rPr>
          <w:rFonts w:cs="Calibri"/>
          <w:sz w:val="24"/>
          <w:szCs w:val="24"/>
        </w:rPr>
        <w:t xml:space="preserve">: </w:t>
      </w:r>
      <w:r w:rsidR="002216E2" w:rsidRPr="00770441">
        <w:rPr>
          <w:rFonts w:cs="Calibri"/>
          <w:sz w:val="24"/>
          <w:szCs w:val="24"/>
        </w:rPr>
        <w:t>A</w:t>
      </w:r>
      <w:r w:rsidR="00825CBB" w:rsidRPr="00770441">
        <w:rPr>
          <w:rFonts w:cs="Calibri"/>
          <w:sz w:val="24"/>
          <w:szCs w:val="24"/>
        </w:rPr>
        <w:t xml:space="preserve"> project will fail screen Q if the project </w:t>
      </w:r>
      <w:r w:rsidR="002216E2" w:rsidRPr="00770441">
        <w:rPr>
          <w:rFonts w:cs="Calibri"/>
          <w:sz w:val="24"/>
          <w:szCs w:val="24"/>
        </w:rPr>
        <w:t xml:space="preserve">reasonably contributes to </w:t>
      </w:r>
      <w:r w:rsidR="00825CBB" w:rsidRPr="00770441">
        <w:rPr>
          <w:rFonts w:cs="Calibri"/>
          <w:sz w:val="24"/>
          <w:szCs w:val="24"/>
        </w:rPr>
        <w:t>requir</w:t>
      </w:r>
      <w:r w:rsidR="002216E2" w:rsidRPr="00770441">
        <w:rPr>
          <w:rFonts w:cs="Calibri"/>
          <w:sz w:val="24"/>
          <w:szCs w:val="24"/>
        </w:rPr>
        <w:t xml:space="preserve">ing </w:t>
      </w:r>
      <w:r w:rsidR="00825CBB" w:rsidRPr="00770441">
        <w:rPr>
          <w:rFonts w:cs="Calibri"/>
          <w:sz w:val="24"/>
          <w:szCs w:val="24"/>
        </w:rPr>
        <w:t>Network Upgrades</w:t>
      </w:r>
      <w:r w:rsidRPr="00770441">
        <w:rPr>
          <w:rFonts w:cs="Calibri"/>
          <w:sz w:val="24"/>
          <w:szCs w:val="24"/>
        </w:rPr>
        <w:t>.</w:t>
      </w:r>
    </w:p>
    <w:p w14:paraId="49FFD71A" w14:textId="77777777" w:rsidR="00770441" w:rsidRPr="00770441" w:rsidRDefault="00770441" w:rsidP="00770441">
      <w:pPr>
        <w:ind w:left="360"/>
        <w:rPr>
          <w:rFonts w:cs="Calibri"/>
          <w:sz w:val="24"/>
          <w:szCs w:val="24"/>
        </w:rPr>
      </w:pPr>
    </w:p>
    <w:p w14:paraId="449D6282" w14:textId="36DFFD29" w:rsidR="007A2A5A" w:rsidRPr="00770441" w:rsidRDefault="00825CBB" w:rsidP="00770441">
      <w:pPr>
        <w:ind w:left="360"/>
        <w:rPr>
          <w:rFonts w:cs="Calibri"/>
          <w:sz w:val="24"/>
          <w:szCs w:val="24"/>
        </w:rPr>
      </w:pPr>
      <w:proofErr w:type="spellStart"/>
      <w:r w:rsidRPr="00770441">
        <w:rPr>
          <w:rFonts w:cs="Calibri"/>
          <w:b/>
          <w:sz w:val="24"/>
          <w:szCs w:val="24"/>
        </w:rPr>
        <w:t>CalSEIA</w:t>
      </w:r>
      <w:proofErr w:type="spellEnd"/>
      <w:r w:rsidR="007A2A5A" w:rsidRPr="00770441">
        <w:rPr>
          <w:rFonts w:cs="Calibri"/>
          <w:sz w:val="24"/>
          <w:szCs w:val="24"/>
        </w:rPr>
        <w:t>:  A proposed Rule 21 project crosses over to the CAISO Appendix Y</w:t>
      </w:r>
      <w:r w:rsidR="007A2A5A" w:rsidRPr="00770441">
        <w:rPr>
          <w:rFonts w:cs="Calibri"/>
          <w:sz w:val="24"/>
          <w:szCs w:val="24"/>
        </w:rPr>
        <w:footnoteReference w:id="2"/>
      </w:r>
      <w:r w:rsidR="007A2A5A" w:rsidRPr="00770441">
        <w:rPr>
          <w:rFonts w:cs="Calibri"/>
          <w:sz w:val="24"/>
          <w:szCs w:val="24"/>
        </w:rPr>
        <w:t xml:space="preserve"> tariff and enters into a Transmission Cluster Study if the Screen Q power flow model indicates that more than 5% of the system nameplate could flow through a device that was studied in Cluster 8 or 9. This is not done on an 8760 basis, comparing the expected output and transmission constraint hourly throughout the year. Rather, solar is treated as uniform generation at the nameplate capacity.</w:t>
      </w:r>
    </w:p>
    <w:p w14:paraId="64D8DF07" w14:textId="77777777" w:rsidR="00820225" w:rsidRPr="00141529" w:rsidRDefault="00820225" w:rsidP="007A2A5A">
      <w:pPr>
        <w:ind w:left="720"/>
        <w:rPr>
          <w:rFonts w:cs="Calibri"/>
          <w:color w:val="5B9BD5" w:themeColor="accent1"/>
          <w:sz w:val="24"/>
          <w:szCs w:val="24"/>
        </w:rPr>
      </w:pPr>
    </w:p>
    <w:p w14:paraId="307A499F" w14:textId="77777777" w:rsidR="00482A06" w:rsidRPr="00141529" w:rsidRDefault="00482A06" w:rsidP="00482A06">
      <w:pPr>
        <w:numPr>
          <w:ilvl w:val="0"/>
          <w:numId w:val="1"/>
        </w:numPr>
        <w:rPr>
          <w:rFonts w:cs="Calibri"/>
          <w:sz w:val="24"/>
          <w:szCs w:val="24"/>
        </w:rPr>
      </w:pPr>
      <w:r w:rsidRPr="00141529">
        <w:rPr>
          <w:rFonts w:cs="Calibri"/>
          <w:sz w:val="24"/>
          <w:szCs w:val="24"/>
        </w:rPr>
        <w:t xml:space="preserve">What happens to a project if it fails Screen Q? </w:t>
      </w:r>
    </w:p>
    <w:p w14:paraId="35CE297C" w14:textId="77777777" w:rsidR="007A2A5A" w:rsidRPr="00141529" w:rsidRDefault="007A2A5A" w:rsidP="007A2A5A">
      <w:pPr>
        <w:ind w:left="720"/>
        <w:rPr>
          <w:rFonts w:cs="Calibri"/>
          <w:sz w:val="24"/>
          <w:szCs w:val="24"/>
        </w:rPr>
      </w:pPr>
    </w:p>
    <w:p w14:paraId="1A8852A1" w14:textId="1979AD92" w:rsidR="00825CBB" w:rsidRPr="00770441" w:rsidRDefault="00770441" w:rsidP="00770441">
      <w:pPr>
        <w:ind w:left="360"/>
        <w:rPr>
          <w:rFonts w:cs="Calibri"/>
          <w:b/>
          <w:sz w:val="24"/>
          <w:szCs w:val="24"/>
        </w:rPr>
      </w:pPr>
      <w:r w:rsidRPr="00770441">
        <w:rPr>
          <w:rFonts w:cs="Calibri"/>
          <w:b/>
          <w:sz w:val="24"/>
          <w:szCs w:val="24"/>
        </w:rPr>
        <w:t>IOUs</w:t>
      </w:r>
      <w:r w:rsidR="00CA7B4A" w:rsidRPr="00770441">
        <w:rPr>
          <w:rFonts w:cs="Calibri"/>
          <w:sz w:val="24"/>
          <w:szCs w:val="24"/>
        </w:rPr>
        <w:t xml:space="preserve">: If </w:t>
      </w:r>
      <w:r w:rsidR="00825CBB" w:rsidRPr="00770441">
        <w:rPr>
          <w:rFonts w:cs="Calibri"/>
          <w:sz w:val="24"/>
          <w:szCs w:val="24"/>
        </w:rPr>
        <w:t>the generator interconnection fails Screen Q under the Detailed Study Process or the Distribution Group Study, it has the option to</w:t>
      </w:r>
      <w:r w:rsidR="00CA7B4A" w:rsidRPr="00770441">
        <w:rPr>
          <w:rFonts w:cs="Calibri"/>
          <w:sz w:val="24"/>
          <w:szCs w:val="24"/>
        </w:rPr>
        <w:t xml:space="preserve"> re-apply to be studied in the Wholesale </w:t>
      </w:r>
      <w:r w:rsidR="00825CBB" w:rsidRPr="00770441">
        <w:rPr>
          <w:rFonts w:cs="Calibri"/>
          <w:sz w:val="24"/>
          <w:szCs w:val="24"/>
        </w:rPr>
        <w:t>D</w:t>
      </w:r>
      <w:r w:rsidR="00CA7B4A" w:rsidRPr="00770441">
        <w:rPr>
          <w:rFonts w:cs="Calibri"/>
          <w:sz w:val="24"/>
          <w:szCs w:val="24"/>
        </w:rPr>
        <w:t>istributi</w:t>
      </w:r>
      <w:r w:rsidR="002216E2" w:rsidRPr="00770441">
        <w:rPr>
          <w:rFonts w:cs="Calibri"/>
          <w:sz w:val="24"/>
          <w:szCs w:val="24"/>
        </w:rPr>
        <w:t>o</w:t>
      </w:r>
      <w:r w:rsidR="00CA7B4A" w:rsidRPr="00770441">
        <w:rPr>
          <w:rFonts w:cs="Calibri"/>
          <w:sz w:val="24"/>
          <w:szCs w:val="24"/>
        </w:rPr>
        <w:t xml:space="preserve">n </w:t>
      </w:r>
      <w:r w:rsidR="00825CBB" w:rsidRPr="00770441">
        <w:rPr>
          <w:rFonts w:cs="Calibri"/>
          <w:sz w:val="24"/>
          <w:szCs w:val="24"/>
        </w:rPr>
        <w:t>T</w:t>
      </w:r>
      <w:r w:rsidR="00CA7B4A" w:rsidRPr="00770441">
        <w:rPr>
          <w:rFonts w:cs="Calibri"/>
          <w:sz w:val="24"/>
          <w:szCs w:val="24"/>
        </w:rPr>
        <w:t>ariff (WDT)</w:t>
      </w:r>
      <w:r w:rsidR="00825CBB" w:rsidRPr="00770441">
        <w:rPr>
          <w:rFonts w:cs="Calibri"/>
          <w:sz w:val="24"/>
          <w:szCs w:val="24"/>
        </w:rPr>
        <w:t xml:space="preserve"> Transmission Cluster per Section F.3.d.</w:t>
      </w:r>
      <w:r w:rsidR="00CA7B4A" w:rsidRPr="00770441">
        <w:rPr>
          <w:rFonts w:cs="Calibri"/>
          <w:sz w:val="24"/>
          <w:szCs w:val="24"/>
        </w:rPr>
        <w:t xml:space="preserve"> </w:t>
      </w:r>
      <w:r w:rsidR="00825CBB" w:rsidRPr="00770441">
        <w:rPr>
          <w:rFonts w:cs="Calibri"/>
          <w:sz w:val="24"/>
          <w:szCs w:val="24"/>
        </w:rPr>
        <w:t>of the Rule 21 Tariff.  At end of the Cluster Study, the project can decide to either stay in the WDT tariff or sign a Rule 21 IA</w:t>
      </w:r>
    </w:p>
    <w:p w14:paraId="7AD6A049" w14:textId="77777777" w:rsidR="007A2A5A" w:rsidRPr="00141529" w:rsidRDefault="007A2A5A" w:rsidP="007A2A5A">
      <w:pPr>
        <w:ind w:left="720"/>
        <w:rPr>
          <w:rFonts w:cs="Calibri"/>
          <w:b/>
          <w:sz w:val="24"/>
          <w:szCs w:val="24"/>
        </w:rPr>
      </w:pPr>
    </w:p>
    <w:p w14:paraId="16CFFA65" w14:textId="77777777" w:rsidR="007A2A5A" w:rsidRPr="00770441" w:rsidRDefault="00825CBB" w:rsidP="00770441">
      <w:pPr>
        <w:ind w:left="360"/>
        <w:rPr>
          <w:rFonts w:cs="Calibri"/>
          <w:sz w:val="24"/>
          <w:szCs w:val="24"/>
        </w:rPr>
      </w:pPr>
      <w:proofErr w:type="spellStart"/>
      <w:r w:rsidRPr="00770441">
        <w:rPr>
          <w:rFonts w:cs="Calibri"/>
          <w:b/>
          <w:sz w:val="24"/>
          <w:szCs w:val="24"/>
        </w:rPr>
        <w:t>CalSEIA</w:t>
      </w:r>
      <w:proofErr w:type="spellEnd"/>
      <w:r w:rsidR="007A2A5A" w:rsidRPr="00770441">
        <w:rPr>
          <w:rFonts w:cs="Calibri"/>
          <w:sz w:val="24"/>
          <w:szCs w:val="24"/>
        </w:rPr>
        <w:t>: A project that fails Screen Q becomes part of the current cluster study and cannot move forward until the cluster study is completed. This increases the interconnection timeline to up to 3 years.</w:t>
      </w:r>
    </w:p>
    <w:p w14:paraId="43C5C17E" w14:textId="77777777" w:rsidR="00820225" w:rsidRPr="00141529" w:rsidRDefault="00820225" w:rsidP="007A2A5A">
      <w:pPr>
        <w:ind w:left="720"/>
        <w:rPr>
          <w:rFonts w:cs="Calibri"/>
          <w:color w:val="5B9BD5" w:themeColor="accent1"/>
          <w:sz w:val="24"/>
          <w:szCs w:val="24"/>
        </w:rPr>
      </w:pPr>
    </w:p>
    <w:p w14:paraId="629B1F88" w14:textId="77777777" w:rsidR="002E5A83" w:rsidRDefault="002E5A83">
      <w:pPr>
        <w:spacing w:after="160" w:line="259" w:lineRule="auto"/>
        <w:rPr>
          <w:rFonts w:cs="Calibri"/>
          <w:sz w:val="24"/>
          <w:szCs w:val="24"/>
        </w:rPr>
      </w:pPr>
      <w:r>
        <w:rPr>
          <w:rFonts w:cs="Calibri"/>
          <w:sz w:val="24"/>
          <w:szCs w:val="24"/>
        </w:rPr>
        <w:br w:type="page"/>
      </w:r>
    </w:p>
    <w:p w14:paraId="613A24AE" w14:textId="450B6E81" w:rsidR="00482A06" w:rsidRPr="00770441" w:rsidRDefault="00482A06" w:rsidP="00482A06">
      <w:pPr>
        <w:numPr>
          <w:ilvl w:val="0"/>
          <w:numId w:val="1"/>
        </w:numPr>
        <w:rPr>
          <w:rFonts w:cs="Calibri"/>
          <w:sz w:val="24"/>
          <w:szCs w:val="24"/>
        </w:rPr>
      </w:pPr>
      <w:r w:rsidRPr="00770441">
        <w:rPr>
          <w:rFonts w:cs="Calibri"/>
          <w:sz w:val="24"/>
          <w:szCs w:val="24"/>
        </w:rPr>
        <w:lastRenderedPageBreak/>
        <w:t xml:space="preserve">What types of projects tend to fail Screen Q? </w:t>
      </w:r>
    </w:p>
    <w:p w14:paraId="720D55EA" w14:textId="77777777" w:rsidR="00770441" w:rsidRPr="00770441" w:rsidRDefault="00770441" w:rsidP="00770441">
      <w:pPr>
        <w:ind w:left="360"/>
        <w:rPr>
          <w:rFonts w:cs="Calibri"/>
          <w:sz w:val="24"/>
          <w:szCs w:val="24"/>
        </w:rPr>
      </w:pPr>
    </w:p>
    <w:p w14:paraId="0E9E00FA" w14:textId="660F8F8E" w:rsidR="00482A06" w:rsidRPr="00770441" w:rsidRDefault="00770441" w:rsidP="00770441">
      <w:pPr>
        <w:ind w:left="360"/>
        <w:rPr>
          <w:rFonts w:cs="Calibri"/>
          <w:sz w:val="24"/>
          <w:szCs w:val="24"/>
        </w:rPr>
      </w:pPr>
      <w:r w:rsidRPr="00770441">
        <w:rPr>
          <w:rFonts w:cs="Calibri"/>
          <w:b/>
          <w:sz w:val="24"/>
          <w:szCs w:val="24"/>
        </w:rPr>
        <w:t>IOUs</w:t>
      </w:r>
      <w:r w:rsidR="00482A06" w:rsidRPr="00770441">
        <w:rPr>
          <w:rFonts w:cs="Calibri"/>
          <w:sz w:val="24"/>
          <w:szCs w:val="24"/>
        </w:rPr>
        <w:t>: Projects requesting to be connected at locations where the utility is aware of transmission issues/constraints, or projects requesting to be connected in areas where there is a high amount of existing/queued generation.</w:t>
      </w:r>
    </w:p>
    <w:p w14:paraId="5E984186" w14:textId="77777777" w:rsidR="00DB4C78" w:rsidRPr="00770441" w:rsidRDefault="00DB4C78" w:rsidP="00770441">
      <w:pPr>
        <w:rPr>
          <w:rFonts w:cs="Calibri"/>
          <w:sz w:val="24"/>
          <w:szCs w:val="24"/>
        </w:rPr>
      </w:pPr>
    </w:p>
    <w:p w14:paraId="66C7F26F" w14:textId="77777777" w:rsidR="00DB4C78" w:rsidRPr="00770441" w:rsidRDefault="00825CBB" w:rsidP="00770441">
      <w:pPr>
        <w:ind w:left="360"/>
        <w:rPr>
          <w:rFonts w:cs="Calibri"/>
          <w:sz w:val="24"/>
          <w:szCs w:val="24"/>
        </w:rPr>
      </w:pPr>
      <w:proofErr w:type="spellStart"/>
      <w:r w:rsidRPr="00770441">
        <w:rPr>
          <w:rFonts w:cs="Calibri"/>
          <w:b/>
          <w:sz w:val="24"/>
          <w:szCs w:val="24"/>
        </w:rPr>
        <w:t>CalSEIA</w:t>
      </w:r>
      <w:proofErr w:type="spellEnd"/>
      <w:r w:rsidR="00DB4C78" w:rsidRPr="00770441">
        <w:rPr>
          <w:rFonts w:cs="Calibri"/>
          <w:sz w:val="24"/>
          <w:szCs w:val="24"/>
        </w:rPr>
        <w:t>: The Cluster 10 study covers nearly the entire service territory. Any project with potential to back</w:t>
      </w:r>
      <w:r w:rsidR="00A31B3A" w:rsidRPr="00770441">
        <w:rPr>
          <w:rFonts w:cs="Calibri"/>
          <w:sz w:val="24"/>
          <w:szCs w:val="24"/>
        </w:rPr>
        <w:t>-</w:t>
      </w:r>
      <w:r w:rsidR="00DB4C78" w:rsidRPr="00770441">
        <w:rPr>
          <w:rFonts w:cs="Calibri"/>
          <w:sz w:val="24"/>
          <w:szCs w:val="24"/>
        </w:rPr>
        <w:t>feed a small amount of power beyond the substation can fail the screen. This results in relatively small DER projects (501 kW - 1000 kW) entering into the transmission cluster study queue.</w:t>
      </w:r>
    </w:p>
    <w:p w14:paraId="1FAC796C" w14:textId="77777777" w:rsidR="00820225" w:rsidRPr="003A6D50" w:rsidRDefault="00820225" w:rsidP="00DB4C78">
      <w:pPr>
        <w:ind w:left="720"/>
        <w:rPr>
          <w:rFonts w:cs="Calibri"/>
          <w:color w:val="5B9BD5" w:themeColor="accent1"/>
          <w:sz w:val="24"/>
          <w:szCs w:val="24"/>
        </w:rPr>
      </w:pPr>
    </w:p>
    <w:p w14:paraId="3BA413C0" w14:textId="77777777" w:rsidR="00482A06" w:rsidRPr="00770441" w:rsidRDefault="00482A06" w:rsidP="00482A06">
      <w:pPr>
        <w:numPr>
          <w:ilvl w:val="0"/>
          <w:numId w:val="1"/>
        </w:numPr>
        <w:rPr>
          <w:rFonts w:cs="Calibri"/>
          <w:sz w:val="24"/>
          <w:szCs w:val="24"/>
        </w:rPr>
      </w:pPr>
      <w:r w:rsidRPr="00770441">
        <w:rPr>
          <w:rFonts w:cs="Calibri"/>
          <w:sz w:val="24"/>
          <w:szCs w:val="24"/>
        </w:rPr>
        <w:t xml:space="preserve">How many projects have failed </w:t>
      </w:r>
      <w:r w:rsidR="00BD6BAC" w:rsidRPr="00770441">
        <w:rPr>
          <w:rFonts w:cs="Calibri"/>
          <w:sz w:val="24"/>
          <w:szCs w:val="24"/>
        </w:rPr>
        <w:t xml:space="preserve">Rule 21 </w:t>
      </w:r>
      <w:r w:rsidRPr="00770441">
        <w:rPr>
          <w:rFonts w:cs="Calibri"/>
          <w:sz w:val="24"/>
          <w:szCs w:val="24"/>
        </w:rPr>
        <w:t xml:space="preserve">Screen Q to date?  </w:t>
      </w:r>
    </w:p>
    <w:p w14:paraId="20968E89" w14:textId="314F7609" w:rsidR="00CA7B4A" w:rsidRPr="00770441" w:rsidRDefault="00482A06" w:rsidP="00770441">
      <w:pPr>
        <w:ind w:left="360"/>
        <w:rPr>
          <w:rFonts w:cs="Calibri"/>
          <w:bCs/>
          <w:sz w:val="24"/>
          <w:szCs w:val="24"/>
        </w:rPr>
      </w:pPr>
      <w:r w:rsidRPr="00770441">
        <w:rPr>
          <w:rFonts w:cs="Calibri"/>
          <w:sz w:val="24"/>
          <w:szCs w:val="24"/>
        </w:rPr>
        <w:t>SDG</w:t>
      </w:r>
      <w:r w:rsidR="002E5A83">
        <w:rPr>
          <w:rFonts w:cs="Calibri"/>
          <w:sz w:val="24"/>
          <w:szCs w:val="24"/>
        </w:rPr>
        <w:t>&amp;</w:t>
      </w:r>
      <w:r w:rsidRPr="00770441">
        <w:rPr>
          <w:rFonts w:cs="Calibri"/>
          <w:sz w:val="24"/>
          <w:szCs w:val="24"/>
        </w:rPr>
        <w:t xml:space="preserve">E: </w:t>
      </w:r>
      <w:r w:rsidR="00A31B3A" w:rsidRPr="00770441">
        <w:rPr>
          <w:rFonts w:cs="Calibri"/>
          <w:sz w:val="24"/>
          <w:szCs w:val="24"/>
        </w:rPr>
        <w:t>zero (0)</w:t>
      </w:r>
    </w:p>
    <w:p w14:paraId="14328CD9" w14:textId="77777777" w:rsidR="0091352D" w:rsidRPr="00770441" w:rsidRDefault="0091352D" w:rsidP="00770441">
      <w:pPr>
        <w:ind w:left="360"/>
        <w:rPr>
          <w:rFonts w:cs="Calibri"/>
          <w:bCs/>
          <w:sz w:val="24"/>
          <w:szCs w:val="24"/>
        </w:rPr>
      </w:pPr>
      <w:r w:rsidRPr="00770441">
        <w:rPr>
          <w:rFonts w:cs="Calibri"/>
          <w:sz w:val="24"/>
          <w:szCs w:val="24"/>
        </w:rPr>
        <w:t xml:space="preserve">SCE: </w:t>
      </w:r>
      <w:r w:rsidR="0068737A" w:rsidRPr="00770441">
        <w:rPr>
          <w:rFonts w:cs="Calibri"/>
          <w:sz w:val="24"/>
          <w:szCs w:val="24"/>
        </w:rPr>
        <w:t xml:space="preserve"> one</w:t>
      </w:r>
      <w:r w:rsidR="00820225" w:rsidRPr="00770441">
        <w:rPr>
          <w:rFonts w:cs="Calibri"/>
          <w:sz w:val="24"/>
          <w:szCs w:val="24"/>
        </w:rPr>
        <w:t xml:space="preserve"> (1)</w:t>
      </w:r>
    </w:p>
    <w:p w14:paraId="50581E17" w14:textId="1909A4B2" w:rsidR="00825CBB" w:rsidRPr="00770441" w:rsidRDefault="00A31B3A" w:rsidP="00770441">
      <w:pPr>
        <w:ind w:left="360"/>
        <w:rPr>
          <w:rFonts w:cs="Calibri"/>
          <w:bCs/>
          <w:sz w:val="24"/>
          <w:szCs w:val="24"/>
        </w:rPr>
      </w:pPr>
      <w:r w:rsidRPr="00770441">
        <w:rPr>
          <w:rFonts w:cs="Calibri"/>
          <w:sz w:val="24"/>
          <w:szCs w:val="24"/>
        </w:rPr>
        <w:t>PG&amp;E</w:t>
      </w:r>
      <w:r w:rsidR="00825CBB" w:rsidRPr="00770441">
        <w:rPr>
          <w:rFonts w:cs="Calibri"/>
          <w:sz w:val="24"/>
          <w:szCs w:val="24"/>
        </w:rPr>
        <w:t xml:space="preserve">: </w:t>
      </w:r>
      <w:r w:rsidR="00770441" w:rsidRPr="00770441">
        <w:rPr>
          <w:rFonts w:cs="Calibri"/>
          <w:sz w:val="24"/>
          <w:szCs w:val="24"/>
        </w:rPr>
        <w:t xml:space="preserve">Eleven (11) projects failed during the </w:t>
      </w:r>
      <w:r w:rsidR="00825CBB" w:rsidRPr="00770441">
        <w:rPr>
          <w:rFonts w:cs="Calibri"/>
          <w:sz w:val="24"/>
          <w:szCs w:val="24"/>
        </w:rPr>
        <w:t xml:space="preserve">2013-2017 </w:t>
      </w:r>
      <w:r w:rsidR="00770441" w:rsidRPr="00770441">
        <w:rPr>
          <w:rFonts w:cs="Calibri"/>
          <w:sz w:val="24"/>
          <w:szCs w:val="24"/>
        </w:rPr>
        <w:t>t</w:t>
      </w:r>
      <w:r w:rsidR="00825CBB" w:rsidRPr="00770441">
        <w:rPr>
          <w:rFonts w:cs="Calibri"/>
          <w:sz w:val="24"/>
          <w:szCs w:val="24"/>
        </w:rPr>
        <w:t>imeframe</w:t>
      </w:r>
    </w:p>
    <w:p w14:paraId="1B87482A" w14:textId="77777777" w:rsidR="00825CBB" w:rsidRPr="003A6D50" w:rsidRDefault="00825CBB" w:rsidP="00825CBB">
      <w:pPr>
        <w:ind w:left="360"/>
        <w:rPr>
          <w:rFonts w:cs="Calibri"/>
          <w:bCs/>
          <w:color w:val="538135" w:themeColor="accent6" w:themeShade="BF"/>
          <w:sz w:val="24"/>
          <w:szCs w:val="24"/>
        </w:rPr>
      </w:pPr>
    </w:p>
    <w:p w14:paraId="032DCBBF" w14:textId="77777777" w:rsidR="00482A06" w:rsidRPr="003A6D50" w:rsidRDefault="00482A06" w:rsidP="00482A06">
      <w:pPr>
        <w:numPr>
          <w:ilvl w:val="0"/>
          <w:numId w:val="1"/>
        </w:numPr>
        <w:rPr>
          <w:rFonts w:cs="Calibri"/>
          <w:sz w:val="24"/>
          <w:szCs w:val="24"/>
        </w:rPr>
      </w:pPr>
      <w:r w:rsidRPr="003A6D50">
        <w:rPr>
          <w:rFonts w:cs="Calibri"/>
          <w:sz w:val="24"/>
          <w:szCs w:val="24"/>
        </w:rPr>
        <w:t xml:space="preserve">How many projects that have failed Screen Q have entered into a Transmission Cluster Study? </w:t>
      </w:r>
    </w:p>
    <w:p w14:paraId="0EEE0787" w14:textId="78497B76" w:rsidR="00482A06" w:rsidRPr="00770441" w:rsidRDefault="00482A06" w:rsidP="00770441">
      <w:pPr>
        <w:ind w:left="360"/>
        <w:rPr>
          <w:rFonts w:cs="Calibri"/>
          <w:sz w:val="24"/>
          <w:szCs w:val="24"/>
        </w:rPr>
      </w:pPr>
      <w:r w:rsidRPr="00770441">
        <w:rPr>
          <w:rFonts w:cs="Calibri"/>
          <w:sz w:val="24"/>
          <w:szCs w:val="24"/>
        </w:rPr>
        <w:t>SDG</w:t>
      </w:r>
      <w:r w:rsidR="002E5A83">
        <w:rPr>
          <w:rFonts w:cs="Calibri"/>
          <w:sz w:val="24"/>
          <w:szCs w:val="24"/>
        </w:rPr>
        <w:t>&amp;</w:t>
      </w:r>
      <w:r w:rsidRPr="00770441">
        <w:rPr>
          <w:rFonts w:cs="Calibri"/>
          <w:sz w:val="24"/>
          <w:szCs w:val="24"/>
        </w:rPr>
        <w:t xml:space="preserve">E: </w:t>
      </w:r>
      <w:proofErr w:type="gramStart"/>
      <w:r w:rsidR="00A31B3A" w:rsidRPr="00770441">
        <w:rPr>
          <w:rFonts w:cs="Calibri"/>
          <w:sz w:val="24"/>
          <w:szCs w:val="24"/>
        </w:rPr>
        <w:t>n/a</w:t>
      </w:r>
      <w:proofErr w:type="gramEnd"/>
    </w:p>
    <w:p w14:paraId="04DEBE7D" w14:textId="77777777" w:rsidR="0091352D" w:rsidRPr="00770441" w:rsidRDefault="0091352D" w:rsidP="00770441">
      <w:pPr>
        <w:ind w:left="360"/>
        <w:rPr>
          <w:rFonts w:cs="Calibri"/>
          <w:sz w:val="24"/>
          <w:szCs w:val="24"/>
        </w:rPr>
      </w:pPr>
      <w:r w:rsidRPr="00770441">
        <w:rPr>
          <w:rFonts w:cs="Calibri"/>
          <w:bCs/>
          <w:sz w:val="24"/>
          <w:szCs w:val="24"/>
        </w:rPr>
        <w:t xml:space="preserve">SCE: </w:t>
      </w:r>
      <w:r w:rsidR="0068737A" w:rsidRPr="00770441">
        <w:rPr>
          <w:rFonts w:cs="Calibri"/>
          <w:bCs/>
          <w:sz w:val="24"/>
          <w:szCs w:val="24"/>
        </w:rPr>
        <w:t>one</w:t>
      </w:r>
    </w:p>
    <w:p w14:paraId="27BDB2A3" w14:textId="77777777" w:rsidR="00BD6BAC" w:rsidRPr="00770441" w:rsidRDefault="00825CBB" w:rsidP="00770441">
      <w:pPr>
        <w:ind w:left="360"/>
        <w:rPr>
          <w:rFonts w:cs="Calibri"/>
          <w:sz w:val="24"/>
          <w:szCs w:val="24"/>
        </w:rPr>
      </w:pPr>
      <w:r w:rsidRPr="00770441">
        <w:rPr>
          <w:rFonts w:cs="Calibri"/>
          <w:bCs/>
          <w:sz w:val="24"/>
          <w:szCs w:val="24"/>
        </w:rPr>
        <w:t xml:space="preserve">PG&amp;E: 3 projects moved to the WDT Cluster Study Process </w:t>
      </w:r>
    </w:p>
    <w:p w14:paraId="337AE7C4" w14:textId="77777777" w:rsidR="00BD6BAC" w:rsidRDefault="00BD6BAC" w:rsidP="00BD6BAC">
      <w:pPr>
        <w:pStyle w:val="ListParagraph"/>
        <w:rPr>
          <w:rFonts w:cs="Calibri"/>
          <w:bCs/>
          <w:color w:val="0000CC"/>
          <w:sz w:val="24"/>
          <w:szCs w:val="24"/>
        </w:rPr>
      </w:pPr>
    </w:p>
    <w:p w14:paraId="232EFE92" w14:textId="77777777" w:rsidR="00482A06" w:rsidRPr="003A6D50" w:rsidRDefault="00482A06" w:rsidP="00482A06">
      <w:pPr>
        <w:numPr>
          <w:ilvl w:val="0"/>
          <w:numId w:val="1"/>
        </w:numPr>
        <w:rPr>
          <w:rFonts w:cs="Calibri"/>
          <w:sz w:val="24"/>
          <w:szCs w:val="24"/>
        </w:rPr>
      </w:pPr>
      <w:r w:rsidRPr="003A6D50">
        <w:rPr>
          <w:rFonts w:cs="Calibri"/>
          <w:sz w:val="24"/>
          <w:szCs w:val="24"/>
        </w:rPr>
        <w:t xml:space="preserve">How many of those were found not to significantly contribute to the upgrade needed? </w:t>
      </w:r>
    </w:p>
    <w:p w14:paraId="5CE8DF75" w14:textId="39854843" w:rsidR="00482A06" w:rsidRPr="00A80D2E" w:rsidRDefault="00482A06" w:rsidP="00A80D2E">
      <w:pPr>
        <w:ind w:left="360"/>
        <w:rPr>
          <w:rFonts w:cs="Calibri"/>
          <w:sz w:val="24"/>
          <w:szCs w:val="24"/>
        </w:rPr>
      </w:pPr>
      <w:r w:rsidRPr="00A80D2E">
        <w:rPr>
          <w:rFonts w:cs="Calibri"/>
          <w:sz w:val="24"/>
          <w:szCs w:val="24"/>
        </w:rPr>
        <w:t>SDG</w:t>
      </w:r>
      <w:r w:rsidR="002E5A83">
        <w:rPr>
          <w:rFonts w:cs="Calibri"/>
          <w:sz w:val="24"/>
          <w:szCs w:val="24"/>
        </w:rPr>
        <w:t>&amp;</w:t>
      </w:r>
      <w:r w:rsidRPr="00A80D2E">
        <w:rPr>
          <w:rFonts w:cs="Calibri"/>
          <w:sz w:val="24"/>
          <w:szCs w:val="24"/>
        </w:rPr>
        <w:t xml:space="preserve">E: </w:t>
      </w:r>
      <w:proofErr w:type="gramStart"/>
      <w:r w:rsidR="00A31B3A" w:rsidRPr="00A80D2E">
        <w:rPr>
          <w:rFonts w:cs="Calibri"/>
          <w:sz w:val="24"/>
          <w:szCs w:val="24"/>
        </w:rPr>
        <w:t>n/a</w:t>
      </w:r>
      <w:proofErr w:type="gramEnd"/>
    </w:p>
    <w:p w14:paraId="3C9EDF4C" w14:textId="77777777" w:rsidR="00DB4C78" w:rsidRPr="00A80D2E" w:rsidRDefault="0091352D" w:rsidP="00A80D2E">
      <w:pPr>
        <w:ind w:left="360"/>
        <w:rPr>
          <w:rFonts w:cs="Calibri"/>
          <w:sz w:val="24"/>
          <w:szCs w:val="24"/>
        </w:rPr>
      </w:pPr>
      <w:r w:rsidRPr="00A80D2E">
        <w:rPr>
          <w:rFonts w:cs="Calibri"/>
          <w:sz w:val="24"/>
          <w:szCs w:val="24"/>
        </w:rPr>
        <w:t xml:space="preserve">SCE: </w:t>
      </w:r>
      <w:r w:rsidR="0068737A" w:rsidRPr="00A80D2E">
        <w:rPr>
          <w:rFonts w:cs="Calibri"/>
          <w:sz w:val="24"/>
          <w:szCs w:val="24"/>
        </w:rPr>
        <w:t>None</w:t>
      </w:r>
    </w:p>
    <w:p w14:paraId="525436B0" w14:textId="0F3629EE" w:rsidR="00825CBB" w:rsidRPr="00A80D2E" w:rsidRDefault="00825CBB" w:rsidP="00A80D2E">
      <w:pPr>
        <w:ind w:left="360"/>
        <w:rPr>
          <w:rFonts w:cs="Calibri"/>
          <w:sz w:val="24"/>
          <w:szCs w:val="24"/>
        </w:rPr>
      </w:pPr>
      <w:r w:rsidRPr="00A80D2E">
        <w:rPr>
          <w:rFonts w:cs="Calibri"/>
          <w:bCs/>
          <w:sz w:val="24"/>
          <w:szCs w:val="24"/>
        </w:rPr>
        <w:t xml:space="preserve">PG&amp;E: All </w:t>
      </w:r>
      <w:r w:rsidR="00982D26" w:rsidRPr="00A80D2E">
        <w:rPr>
          <w:rFonts w:cs="Calibri"/>
          <w:bCs/>
          <w:sz w:val="24"/>
          <w:szCs w:val="24"/>
        </w:rPr>
        <w:t>9</w:t>
      </w:r>
      <w:r w:rsidRPr="00A80D2E">
        <w:rPr>
          <w:rFonts w:cs="Calibri"/>
          <w:bCs/>
          <w:sz w:val="24"/>
          <w:szCs w:val="24"/>
        </w:rPr>
        <w:t xml:space="preserve"> projects that failed EIT</w:t>
      </w:r>
    </w:p>
    <w:p w14:paraId="03C2DAED" w14:textId="77777777" w:rsidR="00DB4C78" w:rsidRPr="003A6D50" w:rsidRDefault="00DB4C78" w:rsidP="00DB4C78">
      <w:pPr>
        <w:pStyle w:val="ListParagraph"/>
        <w:rPr>
          <w:rFonts w:cs="Calibri"/>
          <w:color w:val="538135" w:themeColor="accent6" w:themeShade="BF"/>
          <w:sz w:val="24"/>
          <w:szCs w:val="24"/>
        </w:rPr>
      </w:pPr>
    </w:p>
    <w:p w14:paraId="65557988" w14:textId="77777777" w:rsidR="00DB4C78" w:rsidRPr="00A80D2E" w:rsidRDefault="00825CBB" w:rsidP="00A80D2E">
      <w:pPr>
        <w:ind w:left="360"/>
        <w:rPr>
          <w:rFonts w:cs="Calibri"/>
          <w:sz w:val="24"/>
          <w:szCs w:val="24"/>
        </w:rPr>
      </w:pPr>
      <w:proofErr w:type="spellStart"/>
      <w:r w:rsidRPr="002E5A83">
        <w:rPr>
          <w:rFonts w:cs="Calibri"/>
          <w:b/>
          <w:sz w:val="24"/>
          <w:szCs w:val="24"/>
        </w:rPr>
        <w:t>CalSEIA</w:t>
      </w:r>
      <w:proofErr w:type="spellEnd"/>
      <w:r w:rsidR="00DB4C78" w:rsidRPr="00A80D2E">
        <w:rPr>
          <w:rFonts w:cs="Calibri"/>
          <w:sz w:val="24"/>
          <w:szCs w:val="24"/>
        </w:rPr>
        <w:t xml:space="preserve">: This was not a significant issue in previous cluster studies. The current cluster study is still underway, so there has been no determination of which projects will be allowed to proceed. The impact isn’t the main </w:t>
      </w:r>
      <w:proofErr w:type="gramStart"/>
      <w:r w:rsidR="00DB4C78" w:rsidRPr="00A80D2E">
        <w:rPr>
          <w:rFonts w:cs="Calibri"/>
          <w:sz w:val="24"/>
          <w:szCs w:val="24"/>
        </w:rPr>
        <w:t>issue,</w:t>
      </w:r>
      <w:proofErr w:type="gramEnd"/>
      <w:r w:rsidR="00DB4C78" w:rsidRPr="00A80D2E">
        <w:rPr>
          <w:rFonts w:cs="Calibri"/>
          <w:sz w:val="24"/>
          <w:szCs w:val="24"/>
        </w:rPr>
        <w:t xml:space="preserve"> the main issue is the time it takes to conduct the cluster study. Impact or none, the timelines make the current process untenable. </w:t>
      </w:r>
    </w:p>
    <w:p w14:paraId="1B244288" w14:textId="77777777" w:rsidR="00820225" w:rsidRPr="003A6D50" w:rsidRDefault="00820225" w:rsidP="00DB4C78">
      <w:pPr>
        <w:ind w:left="720"/>
        <w:rPr>
          <w:rFonts w:cs="Calibri"/>
          <w:color w:val="5B9BD5" w:themeColor="accent1"/>
          <w:sz w:val="24"/>
          <w:szCs w:val="24"/>
        </w:rPr>
      </w:pPr>
    </w:p>
    <w:p w14:paraId="31FADEA9" w14:textId="77777777" w:rsidR="00482A06" w:rsidRPr="00A80D2E" w:rsidRDefault="00482A06" w:rsidP="00482A06">
      <w:pPr>
        <w:numPr>
          <w:ilvl w:val="0"/>
          <w:numId w:val="1"/>
        </w:numPr>
        <w:rPr>
          <w:rFonts w:cs="Calibri"/>
          <w:sz w:val="24"/>
          <w:szCs w:val="24"/>
        </w:rPr>
      </w:pPr>
      <w:r w:rsidRPr="00A80D2E">
        <w:rPr>
          <w:rFonts w:cs="Calibri"/>
          <w:sz w:val="24"/>
          <w:szCs w:val="24"/>
        </w:rPr>
        <w:t xml:space="preserve">Why was the 500 kW exemption </w:t>
      </w:r>
      <w:proofErr w:type="gramStart"/>
      <w:r w:rsidRPr="00A80D2E">
        <w:rPr>
          <w:rFonts w:cs="Calibri"/>
          <w:sz w:val="24"/>
          <w:szCs w:val="24"/>
        </w:rPr>
        <w:t>threshold</w:t>
      </w:r>
      <w:proofErr w:type="gramEnd"/>
      <w:r w:rsidRPr="00A80D2E">
        <w:rPr>
          <w:rFonts w:cs="Calibri"/>
          <w:sz w:val="24"/>
          <w:szCs w:val="24"/>
        </w:rPr>
        <w:t xml:space="preserve"> in Rule 21 chosen? Why does it only apply to NEM projects? </w:t>
      </w:r>
    </w:p>
    <w:p w14:paraId="38F6512B" w14:textId="77777777" w:rsidR="00DB4C78" w:rsidRPr="00A80D2E" w:rsidRDefault="00DB4C78" w:rsidP="00DB4C78">
      <w:pPr>
        <w:ind w:left="720"/>
        <w:rPr>
          <w:rFonts w:cs="Calibri"/>
          <w:sz w:val="24"/>
          <w:szCs w:val="24"/>
        </w:rPr>
      </w:pPr>
    </w:p>
    <w:p w14:paraId="706FA56E" w14:textId="22278379" w:rsidR="00A80D2E" w:rsidRDefault="00A80D2E" w:rsidP="00A80D2E">
      <w:pPr>
        <w:ind w:left="360"/>
        <w:rPr>
          <w:rFonts w:cs="Calibri"/>
          <w:sz w:val="24"/>
          <w:szCs w:val="24"/>
        </w:rPr>
      </w:pPr>
      <w:r w:rsidRPr="00A80D2E">
        <w:rPr>
          <w:rFonts w:cs="Calibri"/>
          <w:b/>
          <w:sz w:val="24"/>
          <w:szCs w:val="24"/>
        </w:rPr>
        <w:t>IOUs</w:t>
      </w:r>
      <w:r w:rsidR="0068737A" w:rsidRPr="00A80D2E">
        <w:rPr>
          <w:rFonts w:cs="Calibri"/>
          <w:sz w:val="24"/>
          <w:szCs w:val="24"/>
        </w:rPr>
        <w:t xml:space="preserve">: </w:t>
      </w:r>
      <w:r w:rsidR="00820225" w:rsidRPr="00A80D2E">
        <w:rPr>
          <w:rFonts w:cs="Calibri"/>
          <w:sz w:val="24"/>
          <w:szCs w:val="24"/>
        </w:rPr>
        <w:t>500</w:t>
      </w:r>
      <w:r w:rsidRPr="00A80D2E">
        <w:rPr>
          <w:rFonts w:cs="Calibri"/>
          <w:sz w:val="24"/>
          <w:szCs w:val="24"/>
        </w:rPr>
        <w:t xml:space="preserve"> k</w:t>
      </w:r>
      <w:r w:rsidR="00820225" w:rsidRPr="00A80D2E">
        <w:rPr>
          <w:rFonts w:cs="Calibri"/>
          <w:sz w:val="24"/>
          <w:szCs w:val="24"/>
        </w:rPr>
        <w:t xml:space="preserve">W was determined by the Rule 21 working group as being sufficiently large to potentially contribute to </w:t>
      </w:r>
      <w:r w:rsidRPr="00A80D2E">
        <w:rPr>
          <w:rFonts w:cs="Calibri"/>
          <w:sz w:val="24"/>
          <w:szCs w:val="24"/>
        </w:rPr>
        <w:t xml:space="preserve">requiring </w:t>
      </w:r>
      <w:r w:rsidR="00820225" w:rsidRPr="00A80D2E">
        <w:rPr>
          <w:rFonts w:cs="Calibri"/>
          <w:sz w:val="24"/>
          <w:szCs w:val="24"/>
        </w:rPr>
        <w:t xml:space="preserve">transmission system upgrades. </w:t>
      </w:r>
      <w:r>
        <w:rPr>
          <w:rFonts w:cs="Calibri"/>
          <w:sz w:val="24"/>
          <w:szCs w:val="24"/>
        </w:rPr>
        <w:t xml:space="preserve">Believe </w:t>
      </w:r>
      <w:r w:rsidR="002E5A83">
        <w:rPr>
          <w:rFonts w:cs="Calibri"/>
          <w:sz w:val="24"/>
          <w:szCs w:val="24"/>
        </w:rPr>
        <w:t xml:space="preserve">the exemption </w:t>
      </w:r>
      <w:proofErr w:type="gramStart"/>
      <w:r>
        <w:rPr>
          <w:rFonts w:cs="Calibri"/>
          <w:sz w:val="24"/>
          <w:szCs w:val="24"/>
        </w:rPr>
        <w:t>appl</w:t>
      </w:r>
      <w:r w:rsidR="002E5A83">
        <w:rPr>
          <w:rFonts w:cs="Calibri"/>
          <w:sz w:val="24"/>
          <w:szCs w:val="24"/>
        </w:rPr>
        <w:t>ies</w:t>
      </w:r>
      <w:proofErr w:type="gramEnd"/>
      <w:r w:rsidR="002E5A83">
        <w:rPr>
          <w:rFonts w:cs="Calibri"/>
          <w:sz w:val="24"/>
          <w:szCs w:val="24"/>
        </w:rPr>
        <w:t xml:space="preserve"> </w:t>
      </w:r>
      <w:r>
        <w:rPr>
          <w:rFonts w:cs="Calibri"/>
          <w:sz w:val="24"/>
          <w:szCs w:val="24"/>
        </w:rPr>
        <w:t xml:space="preserve">only to NEM projects in part due to cost allocation issues. </w:t>
      </w:r>
    </w:p>
    <w:p w14:paraId="48B50C28" w14:textId="7975FFF4" w:rsidR="00292ED1" w:rsidRPr="00A80D2E" w:rsidRDefault="00292ED1" w:rsidP="00A80D2E">
      <w:pPr>
        <w:ind w:left="360"/>
        <w:rPr>
          <w:rFonts w:cs="Calibri"/>
          <w:sz w:val="24"/>
          <w:szCs w:val="24"/>
        </w:rPr>
      </w:pPr>
    </w:p>
    <w:p w14:paraId="5B1F565F" w14:textId="573A03FD" w:rsidR="00DB4C78" w:rsidRPr="003A6D50" w:rsidRDefault="00825CBB" w:rsidP="00A80D2E">
      <w:pPr>
        <w:ind w:left="360"/>
        <w:rPr>
          <w:rFonts w:cs="Calibri"/>
          <w:color w:val="00B0F0"/>
          <w:sz w:val="24"/>
          <w:szCs w:val="24"/>
        </w:rPr>
      </w:pPr>
      <w:proofErr w:type="spellStart"/>
      <w:r w:rsidRPr="00A80D2E">
        <w:rPr>
          <w:rFonts w:cs="Calibri"/>
          <w:b/>
          <w:sz w:val="24"/>
          <w:szCs w:val="24"/>
        </w:rPr>
        <w:t>CalSEIA</w:t>
      </w:r>
      <w:proofErr w:type="spellEnd"/>
      <w:r w:rsidR="00DB4C78" w:rsidRPr="00A80D2E">
        <w:rPr>
          <w:rFonts w:cs="Calibri"/>
          <w:sz w:val="24"/>
          <w:szCs w:val="24"/>
        </w:rPr>
        <w:t>: There currently exists an exemption from the Transmission Cluster Study for projects less than or equal to 500 kW</w:t>
      </w:r>
      <w:r w:rsidR="00A80D2E" w:rsidRPr="00A80D2E">
        <w:rPr>
          <w:rFonts w:cs="Calibri"/>
          <w:sz w:val="24"/>
          <w:szCs w:val="24"/>
          <w:vertAlign w:val="superscript"/>
        </w:rPr>
        <w:footnoteReference w:id="3"/>
      </w:r>
      <w:r w:rsidR="00DB4C78" w:rsidRPr="00A80D2E">
        <w:rPr>
          <w:rFonts w:cs="Calibri"/>
          <w:sz w:val="24"/>
          <w:szCs w:val="24"/>
        </w:rPr>
        <w:t xml:space="preserve">. That threshold was chosen during the last major update to Rule 21. At the time, it was acknowledged that smaller systems do not have </w:t>
      </w:r>
      <w:r w:rsidR="00DB4C78" w:rsidRPr="00A80D2E">
        <w:rPr>
          <w:rFonts w:cs="Calibri"/>
          <w:sz w:val="24"/>
          <w:szCs w:val="24"/>
        </w:rPr>
        <w:lastRenderedPageBreak/>
        <w:t>significant impact on the transmission system and it is appropriate to have an exemption threshold. 500 kW was seen as high enough to cover the majority of customer-sited projects</w:t>
      </w:r>
      <w:r w:rsidR="00DB4C78" w:rsidRPr="003A6D50">
        <w:rPr>
          <w:rFonts w:cs="Calibri"/>
          <w:color w:val="00B0F0"/>
          <w:sz w:val="24"/>
          <w:szCs w:val="24"/>
        </w:rPr>
        <w:t xml:space="preserve">. </w:t>
      </w:r>
    </w:p>
    <w:p w14:paraId="5C415506" w14:textId="77777777" w:rsidR="00DB4C78" w:rsidRPr="003A6D50" w:rsidRDefault="00DB4C78" w:rsidP="00DB4C78">
      <w:pPr>
        <w:ind w:left="720"/>
        <w:rPr>
          <w:rFonts w:cs="Calibri"/>
          <w:sz w:val="24"/>
          <w:szCs w:val="24"/>
        </w:rPr>
      </w:pPr>
    </w:p>
    <w:p w14:paraId="1205F28F" w14:textId="77777777" w:rsidR="00482A06" w:rsidRPr="00A80D2E" w:rsidRDefault="00482A06" w:rsidP="00482A06">
      <w:pPr>
        <w:numPr>
          <w:ilvl w:val="0"/>
          <w:numId w:val="1"/>
        </w:numPr>
        <w:rPr>
          <w:rFonts w:cs="Calibri"/>
          <w:sz w:val="24"/>
          <w:szCs w:val="24"/>
        </w:rPr>
      </w:pPr>
      <w:r w:rsidRPr="00A80D2E">
        <w:rPr>
          <w:rFonts w:cs="Calibri"/>
          <w:sz w:val="24"/>
          <w:szCs w:val="24"/>
        </w:rPr>
        <w:t xml:space="preserve">Could the threshold be raised without posing a safety or reliability risk to the grid?  </w:t>
      </w:r>
    </w:p>
    <w:p w14:paraId="1E81F47F" w14:textId="77777777" w:rsidR="00DB4C78" w:rsidRPr="00A80D2E" w:rsidRDefault="00DB4C78" w:rsidP="00DB4C78">
      <w:pPr>
        <w:ind w:left="720"/>
        <w:rPr>
          <w:rFonts w:cs="Calibri"/>
          <w:sz w:val="24"/>
          <w:szCs w:val="24"/>
        </w:rPr>
      </w:pPr>
    </w:p>
    <w:p w14:paraId="7A8D7E7B" w14:textId="5905E614" w:rsidR="00DB4C78" w:rsidRPr="00A80D2E" w:rsidRDefault="00292ED1" w:rsidP="00A80D2E">
      <w:pPr>
        <w:ind w:left="360"/>
        <w:rPr>
          <w:rFonts w:cs="Calibri"/>
          <w:sz w:val="24"/>
          <w:szCs w:val="24"/>
        </w:rPr>
      </w:pPr>
      <w:r w:rsidRPr="00A80D2E">
        <w:rPr>
          <w:rFonts w:cs="Calibri"/>
          <w:b/>
          <w:sz w:val="24"/>
          <w:szCs w:val="24"/>
        </w:rPr>
        <w:t>IOUs</w:t>
      </w:r>
      <w:r w:rsidR="00A80D2E" w:rsidRPr="00A80D2E">
        <w:rPr>
          <w:rFonts w:cs="Calibri"/>
          <w:sz w:val="24"/>
          <w:szCs w:val="24"/>
        </w:rPr>
        <w:t>:</w:t>
      </w:r>
      <w:r w:rsidR="00A80D2E">
        <w:rPr>
          <w:rFonts w:cs="Calibri"/>
          <w:sz w:val="24"/>
          <w:szCs w:val="24"/>
        </w:rPr>
        <w:t xml:space="preserve"> Believe</w:t>
      </w:r>
      <w:r w:rsidR="00820225" w:rsidRPr="00A80D2E">
        <w:rPr>
          <w:rFonts w:cs="Calibri"/>
          <w:sz w:val="24"/>
          <w:szCs w:val="24"/>
        </w:rPr>
        <w:t xml:space="preserve"> the </w:t>
      </w:r>
      <w:r w:rsidRPr="00A80D2E">
        <w:rPr>
          <w:rFonts w:cs="Calibri"/>
          <w:sz w:val="24"/>
          <w:szCs w:val="24"/>
        </w:rPr>
        <w:t xml:space="preserve">basis for </w:t>
      </w:r>
      <w:r w:rsidR="00A80D2E">
        <w:rPr>
          <w:rFonts w:cs="Calibri"/>
          <w:sz w:val="24"/>
          <w:szCs w:val="24"/>
        </w:rPr>
        <w:t xml:space="preserve">establishing </w:t>
      </w:r>
      <w:r w:rsidRPr="00A80D2E">
        <w:rPr>
          <w:rFonts w:cs="Calibri"/>
          <w:sz w:val="24"/>
          <w:szCs w:val="24"/>
        </w:rPr>
        <w:t xml:space="preserve">the </w:t>
      </w:r>
      <w:r w:rsidR="00820225" w:rsidRPr="00A80D2E">
        <w:rPr>
          <w:rFonts w:cs="Calibri"/>
          <w:sz w:val="24"/>
          <w:szCs w:val="24"/>
        </w:rPr>
        <w:t>500</w:t>
      </w:r>
      <w:r w:rsidR="00A80D2E">
        <w:rPr>
          <w:rFonts w:cs="Calibri"/>
          <w:sz w:val="24"/>
          <w:szCs w:val="24"/>
        </w:rPr>
        <w:t xml:space="preserve"> kW</w:t>
      </w:r>
      <w:r w:rsidR="00820225" w:rsidRPr="00A80D2E">
        <w:rPr>
          <w:rFonts w:cs="Calibri"/>
          <w:sz w:val="24"/>
          <w:szCs w:val="24"/>
        </w:rPr>
        <w:t xml:space="preserve"> </w:t>
      </w:r>
      <w:r w:rsidRPr="00A80D2E">
        <w:rPr>
          <w:rFonts w:cs="Calibri"/>
          <w:sz w:val="24"/>
          <w:szCs w:val="24"/>
        </w:rPr>
        <w:t xml:space="preserve">was </w:t>
      </w:r>
      <w:r w:rsidR="00820225" w:rsidRPr="00A80D2E">
        <w:rPr>
          <w:rFonts w:cs="Calibri"/>
          <w:sz w:val="24"/>
          <w:szCs w:val="24"/>
        </w:rPr>
        <w:t>appropriate</w:t>
      </w:r>
      <w:r w:rsidRPr="00A80D2E">
        <w:rPr>
          <w:rFonts w:cs="Calibri"/>
          <w:sz w:val="24"/>
          <w:szCs w:val="24"/>
        </w:rPr>
        <w:t>, and are open to discussion</w:t>
      </w:r>
      <w:r w:rsidR="00986171" w:rsidRPr="00A80D2E">
        <w:rPr>
          <w:rFonts w:cs="Calibri"/>
          <w:sz w:val="24"/>
          <w:szCs w:val="24"/>
        </w:rPr>
        <w:t>s</w:t>
      </w:r>
      <w:r w:rsidR="00A80D2E">
        <w:rPr>
          <w:rFonts w:cs="Calibri"/>
          <w:sz w:val="24"/>
          <w:szCs w:val="24"/>
        </w:rPr>
        <w:t xml:space="preserve"> </w:t>
      </w:r>
      <w:r w:rsidR="002E5A83">
        <w:rPr>
          <w:rFonts w:cs="Calibri"/>
          <w:sz w:val="24"/>
          <w:szCs w:val="24"/>
        </w:rPr>
        <w:t xml:space="preserve">on </w:t>
      </w:r>
      <w:r w:rsidR="00A80D2E">
        <w:rPr>
          <w:rFonts w:cs="Calibri"/>
          <w:sz w:val="24"/>
          <w:szCs w:val="24"/>
        </w:rPr>
        <w:t>review</w:t>
      </w:r>
      <w:r w:rsidR="002E5A83">
        <w:rPr>
          <w:rFonts w:cs="Calibri"/>
          <w:sz w:val="24"/>
          <w:szCs w:val="24"/>
        </w:rPr>
        <w:t xml:space="preserve">ing that basis. </w:t>
      </w:r>
      <w:r w:rsidRPr="00A80D2E">
        <w:rPr>
          <w:rFonts w:cs="Calibri"/>
          <w:sz w:val="24"/>
          <w:szCs w:val="24"/>
        </w:rPr>
        <w:t xml:space="preserve"> </w:t>
      </w:r>
    </w:p>
    <w:p w14:paraId="26E094F3" w14:textId="77777777" w:rsidR="00DB4C78" w:rsidRPr="00A80D2E" w:rsidRDefault="00DB4C78" w:rsidP="00DB4C78">
      <w:pPr>
        <w:ind w:left="720"/>
        <w:rPr>
          <w:rFonts w:cs="Calibri"/>
          <w:b/>
          <w:sz w:val="24"/>
          <w:szCs w:val="24"/>
        </w:rPr>
      </w:pPr>
    </w:p>
    <w:p w14:paraId="10BEF8AF" w14:textId="77777777" w:rsidR="00DB4C78" w:rsidRPr="00A80D2E" w:rsidRDefault="00825CBB" w:rsidP="00A80D2E">
      <w:pPr>
        <w:ind w:left="360"/>
        <w:rPr>
          <w:rFonts w:cs="Calibri"/>
          <w:sz w:val="24"/>
          <w:szCs w:val="24"/>
        </w:rPr>
      </w:pPr>
      <w:proofErr w:type="spellStart"/>
      <w:r w:rsidRPr="00A80D2E">
        <w:rPr>
          <w:rFonts w:cs="Calibri"/>
          <w:b/>
          <w:sz w:val="24"/>
          <w:szCs w:val="24"/>
        </w:rPr>
        <w:t>CalSEIA</w:t>
      </w:r>
      <w:proofErr w:type="spellEnd"/>
      <w:r w:rsidR="00DB4C78" w:rsidRPr="00A80D2E">
        <w:rPr>
          <w:rFonts w:cs="Calibri"/>
          <w:sz w:val="24"/>
          <w:szCs w:val="24"/>
        </w:rPr>
        <w:t xml:space="preserve">: We cannot identify any specific safety or reliability issues that will result from doubling the threshold. An increase to 1000 kW would relieve a lot of the turmoil this issue has caused. This would also allow for greater coordination between this section of the tariff and other sections of the Rule 21 Tariff that allow for upgrade costs associated with projects less than 1000 kW to be shared facilities. </w:t>
      </w:r>
    </w:p>
    <w:p w14:paraId="09571337" w14:textId="77777777" w:rsidR="00820225" w:rsidRPr="00141529" w:rsidRDefault="00820225" w:rsidP="00DB4C78">
      <w:pPr>
        <w:ind w:left="720"/>
        <w:rPr>
          <w:rFonts w:cs="Calibri"/>
          <w:color w:val="5B9BD5" w:themeColor="accent1"/>
          <w:sz w:val="24"/>
          <w:szCs w:val="24"/>
        </w:rPr>
      </w:pPr>
    </w:p>
    <w:p w14:paraId="6C88DCF3" w14:textId="77777777" w:rsidR="00482A06" w:rsidRPr="00141529" w:rsidRDefault="00482A06" w:rsidP="00482A06">
      <w:pPr>
        <w:numPr>
          <w:ilvl w:val="0"/>
          <w:numId w:val="1"/>
        </w:numPr>
        <w:rPr>
          <w:rFonts w:cs="Calibri"/>
          <w:sz w:val="24"/>
          <w:szCs w:val="24"/>
        </w:rPr>
      </w:pPr>
      <w:r w:rsidRPr="00141529">
        <w:rPr>
          <w:rFonts w:cs="Calibri"/>
          <w:sz w:val="24"/>
          <w:szCs w:val="24"/>
        </w:rPr>
        <w:t xml:space="preserve">How do we expect this issue to evolve over the coming years? Will it improve or worsen? </w:t>
      </w:r>
    </w:p>
    <w:p w14:paraId="0D38973B" w14:textId="77777777" w:rsidR="002E5A83" w:rsidRDefault="002E5A83" w:rsidP="00141529">
      <w:pPr>
        <w:ind w:left="360"/>
        <w:rPr>
          <w:rFonts w:cs="Calibri"/>
          <w:color w:val="FF0000"/>
          <w:sz w:val="24"/>
          <w:szCs w:val="24"/>
          <w:highlight w:val="yellow"/>
        </w:rPr>
      </w:pPr>
    </w:p>
    <w:p w14:paraId="35E0B354" w14:textId="63E24231" w:rsidR="00DB4C78" w:rsidRPr="002E5A83" w:rsidRDefault="002E5A83" w:rsidP="00141529">
      <w:pPr>
        <w:ind w:left="360"/>
        <w:rPr>
          <w:rFonts w:cs="Calibri"/>
          <w:sz w:val="24"/>
          <w:szCs w:val="24"/>
        </w:rPr>
      </w:pPr>
      <w:r w:rsidRPr="002E5A83">
        <w:rPr>
          <w:rFonts w:cs="Calibri"/>
          <w:b/>
          <w:sz w:val="24"/>
          <w:szCs w:val="24"/>
        </w:rPr>
        <w:t>IOUs</w:t>
      </w:r>
      <w:r w:rsidRPr="002E5A83">
        <w:rPr>
          <w:rFonts w:cs="Calibri"/>
          <w:sz w:val="24"/>
          <w:szCs w:val="24"/>
        </w:rPr>
        <w:t xml:space="preserve">: </w:t>
      </w:r>
      <w:r w:rsidR="00482A06" w:rsidRPr="002E5A83">
        <w:rPr>
          <w:rFonts w:cs="Calibri"/>
          <w:sz w:val="24"/>
          <w:szCs w:val="24"/>
        </w:rPr>
        <w:t xml:space="preserve">Need clarity on the issue that is being referenced.  By definition, a screen in a study process is established to identify projects that either do or do not meet certain pre-defined criteria.  The frequency or number of projects not passing a screen cannot, without further context, be a reason to change the screening criteria.  </w:t>
      </w:r>
    </w:p>
    <w:p w14:paraId="0BF6F3AE" w14:textId="77777777" w:rsidR="00DB4C78" w:rsidRPr="002E5A83" w:rsidRDefault="00DB4C78" w:rsidP="00DB4C78">
      <w:pPr>
        <w:ind w:left="720"/>
        <w:rPr>
          <w:rFonts w:cs="Calibri"/>
          <w:b/>
          <w:sz w:val="24"/>
          <w:szCs w:val="24"/>
        </w:rPr>
      </w:pPr>
    </w:p>
    <w:p w14:paraId="1BEF1735" w14:textId="77777777" w:rsidR="00DB4C78" w:rsidRPr="002E5A83" w:rsidRDefault="00825CBB" w:rsidP="002E5A83">
      <w:pPr>
        <w:ind w:left="360"/>
        <w:rPr>
          <w:rFonts w:cs="Calibri"/>
          <w:sz w:val="24"/>
          <w:szCs w:val="24"/>
        </w:rPr>
      </w:pPr>
      <w:proofErr w:type="spellStart"/>
      <w:r w:rsidRPr="002E5A83">
        <w:rPr>
          <w:rFonts w:cs="Calibri"/>
          <w:b/>
          <w:sz w:val="24"/>
          <w:szCs w:val="24"/>
        </w:rPr>
        <w:t>CalSEIA</w:t>
      </w:r>
      <w:proofErr w:type="spellEnd"/>
      <w:r w:rsidRPr="002E5A83">
        <w:rPr>
          <w:rFonts w:cs="Calibri"/>
          <w:sz w:val="24"/>
          <w:szCs w:val="24"/>
        </w:rPr>
        <w:t>:</w:t>
      </w:r>
      <w:r w:rsidR="00DB4C78" w:rsidRPr="002E5A83">
        <w:rPr>
          <w:rFonts w:cs="Calibri"/>
          <w:sz w:val="24"/>
          <w:szCs w:val="24"/>
        </w:rPr>
        <w:t xml:space="preserve"> This issue will become more common, even if the threshold is raised to 1000 kW. The problem is two-fold. </w:t>
      </w:r>
    </w:p>
    <w:p w14:paraId="3E59FA2F" w14:textId="77777777" w:rsidR="00DB4C78" w:rsidRPr="002E5A83" w:rsidRDefault="00DB4C78" w:rsidP="002E5A83">
      <w:pPr>
        <w:pStyle w:val="ListParagraph"/>
        <w:numPr>
          <w:ilvl w:val="0"/>
          <w:numId w:val="9"/>
        </w:numPr>
        <w:rPr>
          <w:rFonts w:cs="Calibri"/>
          <w:sz w:val="24"/>
          <w:szCs w:val="24"/>
        </w:rPr>
      </w:pPr>
      <w:r w:rsidRPr="002E5A83">
        <w:rPr>
          <w:rFonts w:cs="Calibri"/>
          <w:sz w:val="24"/>
          <w:szCs w:val="24"/>
          <w:u w:val="single"/>
        </w:rPr>
        <w:t>First:</w:t>
      </w:r>
      <w:r w:rsidRPr="002E5A83">
        <w:rPr>
          <w:rFonts w:cs="Calibri"/>
          <w:sz w:val="24"/>
          <w:szCs w:val="24"/>
        </w:rPr>
        <w:t xml:space="preserve"> The number of projects causing sub-transmission </w:t>
      </w:r>
      <w:proofErr w:type="gramStart"/>
      <w:r w:rsidRPr="002E5A83">
        <w:rPr>
          <w:rFonts w:cs="Calibri"/>
          <w:sz w:val="24"/>
          <w:szCs w:val="24"/>
        </w:rPr>
        <w:t>back</w:t>
      </w:r>
      <w:r w:rsidR="00825CBB" w:rsidRPr="002E5A83">
        <w:rPr>
          <w:rFonts w:cs="Calibri"/>
          <w:sz w:val="24"/>
          <w:szCs w:val="24"/>
        </w:rPr>
        <w:t>-</w:t>
      </w:r>
      <w:r w:rsidRPr="002E5A83">
        <w:rPr>
          <w:rFonts w:cs="Calibri"/>
          <w:sz w:val="24"/>
          <w:szCs w:val="24"/>
        </w:rPr>
        <w:t>feeding</w:t>
      </w:r>
      <w:proofErr w:type="gramEnd"/>
      <w:r w:rsidRPr="002E5A83">
        <w:rPr>
          <w:rFonts w:cs="Calibri"/>
          <w:sz w:val="24"/>
          <w:szCs w:val="24"/>
        </w:rPr>
        <w:t xml:space="preserve"> (Failing Screen N) will certainly increase.</w:t>
      </w:r>
    </w:p>
    <w:p w14:paraId="1CDFC42E" w14:textId="77777777" w:rsidR="00DB4C78" w:rsidRPr="002E5A83" w:rsidRDefault="00DB4C78" w:rsidP="002E5A83">
      <w:pPr>
        <w:pStyle w:val="ListParagraph"/>
        <w:numPr>
          <w:ilvl w:val="0"/>
          <w:numId w:val="9"/>
        </w:numPr>
        <w:rPr>
          <w:rFonts w:cs="Calibri"/>
          <w:sz w:val="24"/>
          <w:szCs w:val="24"/>
        </w:rPr>
      </w:pPr>
      <w:r w:rsidRPr="002E5A83">
        <w:rPr>
          <w:rFonts w:cs="Calibri"/>
          <w:sz w:val="24"/>
          <w:szCs w:val="24"/>
          <w:u w:val="single"/>
        </w:rPr>
        <w:t>Second:</w:t>
      </w:r>
      <w:r w:rsidRPr="002E5A83">
        <w:rPr>
          <w:rFonts w:cs="Calibri"/>
          <w:sz w:val="24"/>
          <w:szCs w:val="24"/>
        </w:rPr>
        <w:t xml:space="preserve"> The scope of the CAISO Cluster 10 and beyond will continue to increase as well, so more projects will certainly start to fail Screen Q. </w:t>
      </w:r>
    </w:p>
    <w:p w14:paraId="4F75C9CA" w14:textId="77777777" w:rsidR="00DB4C78" w:rsidRPr="002E5A83" w:rsidRDefault="00DB4C78" w:rsidP="00DB4C78">
      <w:pPr>
        <w:pStyle w:val="ListParagraph"/>
        <w:ind w:left="1080"/>
        <w:rPr>
          <w:rFonts w:cs="Calibri"/>
          <w:sz w:val="24"/>
          <w:szCs w:val="24"/>
        </w:rPr>
      </w:pPr>
      <w:r w:rsidRPr="002E5A83">
        <w:rPr>
          <w:rFonts w:cs="Calibri"/>
          <w:sz w:val="24"/>
          <w:szCs w:val="24"/>
        </w:rPr>
        <w:t xml:space="preserve">   </w:t>
      </w:r>
    </w:p>
    <w:p w14:paraId="74CB233F" w14:textId="77777777" w:rsidR="00DB4C78" w:rsidRPr="002E5A83" w:rsidRDefault="00DB4C78" w:rsidP="00825CBB">
      <w:pPr>
        <w:ind w:left="720"/>
        <w:rPr>
          <w:rFonts w:cs="Calibri"/>
          <w:sz w:val="24"/>
          <w:szCs w:val="24"/>
        </w:rPr>
      </w:pPr>
      <w:r w:rsidRPr="002E5A83">
        <w:rPr>
          <w:rFonts w:cs="Calibri"/>
          <w:sz w:val="24"/>
          <w:szCs w:val="24"/>
        </w:rPr>
        <w:t>Recommendation from solar parties: The Commission and CAISO should begin exploring a better long-term solution while the exemption threshold is increased.</w:t>
      </w:r>
    </w:p>
    <w:p w14:paraId="30141210" w14:textId="77777777" w:rsidR="00820225" w:rsidRDefault="00820225" w:rsidP="00DB4C78">
      <w:pPr>
        <w:ind w:left="720"/>
        <w:rPr>
          <w:color w:val="5B9BD5" w:themeColor="accent1"/>
        </w:rPr>
      </w:pPr>
    </w:p>
    <w:p w14:paraId="19DF4432" w14:textId="77777777" w:rsidR="00FE6844" w:rsidRDefault="00C774FE"/>
    <w:sectPr w:rsidR="00FE6844" w:rsidSect="002966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FA89" w14:textId="77777777" w:rsidR="00990CB5" w:rsidRDefault="00990CB5" w:rsidP="007A2A5A">
      <w:r>
        <w:separator/>
      </w:r>
    </w:p>
  </w:endnote>
  <w:endnote w:type="continuationSeparator" w:id="0">
    <w:p w14:paraId="4FA7DC85" w14:textId="77777777" w:rsidR="00990CB5" w:rsidRDefault="00990CB5" w:rsidP="007A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87749"/>
      <w:docPartObj>
        <w:docPartGallery w:val="Page Numbers (Bottom of Page)"/>
        <w:docPartUnique/>
      </w:docPartObj>
    </w:sdtPr>
    <w:sdtEndPr/>
    <w:sdtContent>
      <w:sdt>
        <w:sdtPr>
          <w:id w:val="-1769616900"/>
          <w:docPartObj>
            <w:docPartGallery w:val="Page Numbers (Top of Page)"/>
            <w:docPartUnique/>
          </w:docPartObj>
        </w:sdtPr>
        <w:sdtEndPr/>
        <w:sdtContent>
          <w:p w14:paraId="04010ADD" w14:textId="1D98571A" w:rsidR="00646947" w:rsidRDefault="006469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74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74FE">
              <w:rPr>
                <w:b/>
                <w:bCs/>
                <w:noProof/>
              </w:rPr>
              <w:t>3</w:t>
            </w:r>
            <w:r>
              <w:rPr>
                <w:b/>
                <w:bCs/>
                <w:sz w:val="24"/>
                <w:szCs w:val="24"/>
              </w:rPr>
              <w:fldChar w:fldCharType="end"/>
            </w:r>
          </w:p>
        </w:sdtContent>
      </w:sdt>
    </w:sdtContent>
  </w:sdt>
  <w:p w14:paraId="370A6FDE" w14:textId="77777777" w:rsidR="00646947" w:rsidRDefault="006469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1C63E" w14:textId="77777777" w:rsidR="00990CB5" w:rsidRDefault="00990CB5" w:rsidP="007A2A5A">
      <w:r>
        <w:separator/>
      </w:r>
    </w:p>
  </w:footnote>
  <w:footnote w:type="continuationSeparator" w:id="0">
    <w:p w14:paraId="71AF8A82" w14:textId="77777777" w:rsidR="00990CB5" w:rsidRDefault="00990CB5" w:rsidP="007A2A5A">
      <w:r>
        <w:continuationSeparator/>
      </w:r>
    </w:p>
  </w:footnote>
  <w:footnote w:id="1">
    <w:p w14:paraId="760A8BDD" w14:textId="77777777" w:rsidR="007A2A5A" w:rsidRDefault="007A2A5A" w:rsidP="007A2A5A">
      <w:pPr>
        <w:pStyle w:val="FootnoteText"/>
      </w:pPr>
      <w:r>
        <w:rPr>
          <w:rStyle w:val="FootnoteReference"/>
        </w:rPr>
        <w:footnoteRef/>
      </w:r>
      <w:r>
        <w:t xml:space="preserve"> “Electric Rule No. 21 Generating Facility Interconnections” Section G Interconnection Technical Framework – Overview Flowchart</w:t>
      </w:r>
    </w:p>
  </w:footnote>
  <w:footnote w:id="2">
    <w:p w14:paraId="0DA486B6" w14:textId="77777777" w:rsidR="007A2A5A" w:rsidRDefault="007A2A5A" w:rsidP="007A2A5A">
      <w:pPr>
        <w:pStyle w:val="FootnoteText"/>
      </w:pPr>
      <w:r>
        <w:rPr>
          <w:rStyle w:val="FootnoteReference"/>
        </w:rPr>
        <w:footnoteRef/>
      </w:r>
      <w:r>
        <w:t xml:space="preserve"> “CAISO Appendix Y GIP For Interconnection Requests Generator Interconnection Procedures (GIP)” </w:t>
      </w:r>
      <w:r w:rsidRPr="003026B1">
        <w:t>Section 4.2</w:t>
      </w:r>
    </w:p>
  </w:footnote>
  <w:footnote w:id="3">
    <w:p w14:paraId="67B7D7AD" w14:textId="77777777" w:rsidR="00A80D2E" w:rsidRDefault="00A80D2E" w:rsidP="00A80D2E">
      <w:pPr>
        <w:pStyle w:val="FootnoteText"/>
      </w:pPr>
      <w:r>
        <w:rPr>
          <w:rStyle w:val="FootnoteReference"/>
        </w:rPr>
        <w:footnoteRef/>
      </w:r>
      <w:r>
        <w:t xml:space="preserve"> “Electric Rule No. 21 Generating Facility Interconnections” Section G.3 (a): Note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A63C" w14:textId="77777777" w:rsidR="00141529" w:rsidRPr="00141529" w:rsidRDefault="00141529" w:rsidP="00141529">
    <w:pPr>
      <w:jc w:val="center"/>
      <w:rPr>
        <w:rFonts w:cs="Calibri"/>
        <w:sz w:val="24"/>
        <w:szCs w:val="24"/>
      </w:rPr>
    </w:pPr>
    <w:r w:rsidRPr="00141529">
      <w:rPr>
        <w:rFonts w:cs="Calibri"/>
        <w:sz w:val="24"/>
        <w:szCs w:val="24"/>
      </w:rPr>
      <w:t xml:space="preserve">Party Responses to </w:t>
    </w:r>
    <w:r>
      <w:rPr>
        <w:rFonts w:cs="Calibri"/>
        <w:sz w:val="24"/>
        <w:szCs w:val="24"/>
      </w:rPr>
      <w:t>T</w:t>
    </w:r>
    <w:r w:rsidRPr="00141529">
      <w:rPr>
        <w:rFonts w:cs="Calibri"/>
        <w:sz w:val="24"/>
        <w:szCs w:val="24"/>
      </w:rPr>
      <w:t xml:space="preserve">en Screen Q Talking Point </w:t>
    </w:r>
    <w:r>
      <w:rPr>
        <w:rFonts w:cs="Calibri"/>
        <w:sz w:val="24"/>
        <w:szCs w:val="24"/>
      </w:rPr>
      <w:t>Q</w:t>
    </w:r>
    <w:r w:rsidRPr="00141529">
      <w:rPr>
        <w:rFonts w:cs="Calibri"/>
        <w:sz w:val="24"/>
        <w:szCs w:val="24"/>
      </w:rPr>
      <w:t xml:space="preserve">uestions </w:t>
    </w:r>
    <w:r>
      <w:rPr>
        <w:rFonts w:cs="Calibri"/>
        <w:sz w:val="24"/>
        <w:szCs w:val="24"/>
      </w:rPr>
      <w:t>A</w:t>
    </w:r>
    <w:r w:rsidRPr="00141529">
      <w:rPr>
        <w:rFonts w:cs="Calibri"/>
        <w:sz w:val="24"/>
        <w:szCs w:val="24"/>
      </w:rPr>
      <w:t>sked by Energy Division</w:t>
    </w:r>
  </w:p>
  <w:p w14:paraId="000B34A0" w14:textId="77777777" w:rsidR="00141529" w:rsidRDefault="00141529" w:rsidP="001415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65C"/>
    <w:multiLevelType w:val="hybridMultilevel"/>
    <w:tmpl w:val="DC460C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50B87"/>
    <w:multiLevelType w:val="hybridMultilevel"/>
    <w:tmpl w:val="EE66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0E5"/>
    <w:multiLevelType w:val="hybridMultilevel"/>
    <w:tmpl w:val="F82A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87F"/>
    <w:multiLevelType w:val="hybridMultilevel"/>
    <w:tmpl w:val="5A68C50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39F369DE"/>
    <w:multiLevelType w:val="hybridMultilevel"/>
    <w:tmpl w:val="8DE62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A5AA2"/>
    <w:multiLevelType w:val="hybridMultilevel"/>
    <w:tmpl w:val="8A6C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843EA"/>
    <w:multiLevelType w:val="hybridMultilevel"/>
    <w:tmpl w:val="6AD4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06"/>
    <w:rsid w:val="00141529"/>
    <w:rsid w:val="002216E2"/>
    <w:rsid w:val="00292ED1"/>
    <w:rsid w:val="002966E8"/>
    <w:rsid w:val="002E5A83"/>
    <w:rsid w:val="002F5E40"/>
    <w:rsid w:val="003A6D50"/>
    <w:rsid w:val="003D51E8"/>
    <w:rsid w:val="00482A06"/>
    <w:rsid w:val="004C4F2D"/>
    <w:rsid w:val="004F6D2E"/>
    <w:rsid w:val="00600F85"/>
    <w:rsid w:val="00646947"/>
    <w:rsid w:val="00674D63"/>
    <w:rsid w:val="0068737A"/>
    <w:rsid w:val="006E08D8"/>
    <w:rsid w:val="007023EA"/>
    <w:rsid w:val="00770441"/>
    <w:rsid w:val="007A2A5A"/>
    <w:rsid w:val="007C1C83"/>
    <w:rsid w:val="00820225"/>
    <w:rsid w:val="00825CBB"/>
    <w:rsid w:val="00861F95"/>
    <w:rsid w:val="00873D62"/>
    <w:rsid w:val="008E0871"/>
    <w:rsid w:val="0091352D"/>
    <w:rsid w:val="00956E0B"/>
    <w:rsid w:val="00982D26"/>
    <w:rsid w:val="00986171"/>
    <w:rsid w:val="00990CB5"/>
    <w:rsid w:val="00A31B3A"/>
    <w:rsid w:val="00A80D2E"/>
    <w:rsid w:val="00AD09CA"/>
    <w:rsid w:val="00B20989"/>
    <w:rsid w:val="00BA769C"/>
    <w:rsid w:val="00BD6BAC"/>
    <w:rsid w:val="00C774FE"/>
    <w:rsid w:val="00CA7B4A"/>
    <w:rsid w:val="00CB3D0B"/>
    <w:rsid w:val="00DB4C78"/>
    <w:rsid w:val="00E2197B"/>
    <w:rsid w:val="00E6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8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0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40"/>
    <w:pPr>
      <w:ind w:left="720"/>
      <w:contextualSpacing/>
    </w:pPr>
  </w:style>
  <w:style w:type="paragraph" w:styleId="BalloonText">
    <w:name w:val="Balloon Text"/>
    <w:basedOn w:val="Normal"/>
    <w:link w:val="BalloonTextChar"/>
    <w:uiPriority w:val="99"/>
    <w:semiHidden/>
    <w:unhideWhenUsed/>
    <w:rsid w:val="00296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E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2A5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2A5A"/>
    <w:rPr>
      <w:sz w:val="20"/>
      <w:szCs w:val="20"/>
    </w:rPr>
  </w:style>
  <w:style w:type="character" w:styleId="FootnoteReference">
    <w:name w:val="footnote reference"/>
    <w:basedOn w:val="DefaultParagraphFont"/>
    <w:uiPriority w:val="99"/>
    <w:semiHidden/>
    <w:unhideWhenUsed/>
    <w:rsid w:val="007A2A5A"/>
    <w:rPr>
      <w:vertAlign w:val="superscript"/>
    </w:rPr>
  </w:style>
  <w:style w:type="paragraph" w:styleId="Header">
    <w:name w:val="header"/>
    <w:basedOn w:val="Normal"/>
    <w:link w:val="HeaderChar"/>
    <w:uiPriority w:val="99"/>
    <w:unhideWhenUsed/>
    <w:rsid w:val="00141529"/>
    <w:pPr>
      <w:tabs>
        <w:tab w:val="center" w:pos="4680"/>
        <w:tab w:val="right" w:pos="9360"/>
      </w:tabs>
    </w:pPr>
  </w:style>
  <w:style w:type="character" w:customStyle="1" w:styleId="HeaderChar">
    <w:name w:val="Header Char"/>
    <w:basedOn w:val="DefaultParagraphFont"/>
    <w:link w:val="Header"/>
    <w:uiPriority w:val="99"/>
    <w:rsid w:val="00141529"/>
    <w:rPr>
      <w:rFonts w:ascii="Calibri" w:eastAsia="Times New Roman" w:hAnsi="Calibri" w:cs="Times New Roman"/>
    </w:rPr>
  </w:style>
  <w:style w:type="paragraph" w:styleId="Footer">
    <w:name w:val="footer"/>
    <w:basedOn w:val="Normal"/>
    <w:link w:val="FooterChar"/>
    <w:uiPriority w:val="99"/>
    <w:unhideWhenUsed/>
    <w:rsid w:val="00141529"/>
    <w:pPr>
      <w:tabs>
        <w:tab w:val="center" w:pos="4680"/>
        <w:tab w:val="right" w:pos="9360"/>
      </w:tabs>
    </w:pPr>
  </w:style>
  <w:style w:type="character" w:customStyle="1" w:styleId="FooterChar">
    <w:name w:val="Footer Char"/>
    <w:basedOn w:val="DefaultParagraphFont"/>
    <w:link w:val="Footer"/>
    <w:uiPriority w:val="99"/>
    <w:rsid w:val="00141529"/>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0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40"/>
    <w:pPr>
      <w:ind w:left="720"/>
      <w:contextualSpacing/>
    </w:pPr>
  </w:style>
  <w:style w:type="paragraph" w:styleId="BalloonText">
    <w:name w:val="Balloon Text"/>
    <w:basedOn w:val="Normal"/>
    <w:link w:val="BalloonTextChar"/>
    <w:uiPriority w:val="99"/>
    <w:semiHidden/>
    <w:unhideWhenUsed/>
    <w:rsid w:val="00296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E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2A5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2A5A"/>
    <w:rPr>
      <w:sz w:val="20"/>
      <w:szCs w:val="20"/>
    </w:rPr>
  </w:style>
  <w:style w:type="character" w:styleId="FootnoteReference">
    <w:name w:val="footnote reference"/>
    <w:basedOn w:val="DefaultParagraphFont"/>
    <w:uiPriority w:val="99"/>
    <w:semiHidden/>
    <w:unhideWhenUsed/>
    <w:rsid w:val="007A2A5A"/>
    <w:rPr>
      <w:vertAlign w:val="superscript"/>
    </w:rPr>
  </w:style>
  <w:style w:type="paragraph" w:styleId="Header">
    <w:name w:val="header"/>
    <w:basedOn w:val="Normal"/>
    <w:link w:val="HeaderChar"/>
    <w:uiPriority w:val="99"/>
    <w:unhideWhenUsed/>
    <w:rsid w:val="00141529"/>
    <w:pPr>
      <w:tabs>
        <w:tab w:val="center" w:pos="4680"/>
        <w:tab w:val="right" w:pos="9360"/>
      </w:tabs>
    </w:pPr>
  </w:style>
  <w:style w:type="character" w:customStyle="1" w:styleId="HeaderChar">
    <w:name w:val="Header Char"/>
    <w:basedOn w:val="DefaultParagraphFont"/>
    <w:link w:val="Header"/>
    <w:uiPriority w:val="99"/>
    <w:rsid w:val="00141529"/>
    <w:rPr>
      <w:rFonts w:ascii="Calibri" w:eastAsia="Times New Roman" w:hAnsi="Calibri" w:cs="Times New Roman"/>
    </w:rPr>
  </w:style>
  <w:style w:type="paragraph" w:styleId="Footer">
    <w:name w:val="footer"/>
    <w:basedOn w:val="Normal"/>
    <w:link w:val="FooterChar"/>
    <w:uiPriority w:val="99"/>
    <w:unhideWhenUsed/>
    <w:rsid w:val="00141529"/>
    <w:pPr>
      <w:tabs>
        <w:tab w:val="center" w:pos="4680"/>
        <w:tab w:val="right" w:pos="9360"/>
      </w:tabs>
    </w:pPr>
  </w:style>
  <w:style w:type="character" w:customStyle="1" w:styleId="FooterChar">
    <w:name w:val="Footer Char"/>
    <w:basedOn w:val="DefaultParagraphFont"/>
    <w:link w:val="Footer"/>
    <w:uiPriority w:val="99"/>
    <w:rsid w:val="0014152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Enright</dc:creator>
  <cp:keywords/>
  <dc:description/>
  <cp:lastModifiedBy>Brad Heavner</cp:lastModifiedBy>
  <cp:revision>2</cp:revision>
  <cp:lastPrinted>2017-10-11T22:03:00Z</cp:lastPrinted>
  <dcterms:created xsi:type="dcterms:W3CDTF">2017-10-18T14:50:00Z</dcterms:created>
  <dcterms:modified xsi:type="dcterms:W3CDTF">2017-10-18T14:50:00Z</dcterms:modified>
</cp:coreProperties>
</file>